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361</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11.08.2026 г.</w:t>
            </w:r>
          </w:p>
        </w:tc>
      </w:tr>
    </w:tbl>
    <w:p w14:paraId="40A9455F" w14:textId="77777777" w:rsidR="006047E4" w:rsidRPr="001841E1" w:rsidRDefault="00652D53">
      <w:pPr>
        <w:spacing w:before="80" w:after="40"/>
        <w:ind w:firstLine="567"/>
        <w:rPr>
          <w:lang w:val="ru-RU"/>
        </w:rPr>
      </w:pPr>
      <w:r w:rsidRPr="001841E1">
        <w:rPr>
          <w:lang w:val="ru-RU"/>
        </w:rPr>
        <w:t xml:space="preserve">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ОБЩЕСТВО С ОГРАНИЧЕННОЙ ОТВЕТСТВЕННОСТЬЮ "ИНОКСХАБ", именуемое в дальнейшем «Заказчик», в лице генерального директора Давыдика Владимира Владимировича,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"ИНОКСХАБ"</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121552 г. Москва ВН.ТЕР.Г МУНИЦИПАЛЬНЫЙ ОКРУГ КУНЦЕВО ул. Оршанская д 5 пом. 123 РФ</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t>ИНН: 5036146041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773101001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t>ОГРН / ОГРНИП: 1145074015877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40702810212010481259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ПАО «Совкомбанк»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30101810445250000360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044525360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info@inoxhub.com</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(985) 260-03-11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Давыдик Владимир Владимирович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