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50" w:type="dxa"/>
        <w:jc w:val="start"/>
        <w:tblInd w:w="147" w:type="dxa"/>
        <w:tblLayout w:type="fixed"/>
        <w:tblCellMar>
          <w:top w:w="0" w:type="dxa"/>
          <w:start w:w="0" w:type="dxa"/>
          <w:bottom w:w="0" w:type="dxa"/>
          <w:end w:w="0" w:type="dxa"/>
        </w:tblCellMar>
      </w:tblPr>
      <w:tblGrid>
        <w:gridCol w:w="15"/>
        <w:gridCol w:w="1043"/>
        <w:gridCol w:w="741"/>
        <w:gridCol w:w="1340"/>
        <w:gridCol w:w="21"/>
        <w:gridCol w:w="2653"/>
        <w:gridCol w:w="376"/>
        <w:gridCol w:w="8"/>
        <w:gridCol w:w="10"/>
        <w:gridCol w:w="4128"/>
        <w:gridCol w:w="13"/>
      </w:tblGrid>
      <w:tr>
        <w:trPr>
          <w:trHeight w:val="841" w:hRule="atLeast"/>
        </w:trPr>
        <w:tc>
          <w:tcPr>
            <w:tcW w:w="15" w:type="dxa"/>
            <w:tcBorders/>
          </w:tcPr>
          <w:p>
            <w:pPr>
              <w:pStyle w:val="Normal"/>
              <w:spacing w:lineRule="atLeast" w:line="0" w:beforeAutospacing="0" w:before="0" w:afterAutospacing="0" w:after="0"/>
              <w:rPr>
                <w:sz w:val="1"/>
                <w:szCs w:val="1"/>
              </w:rPr>
            </w:pPr>
            <w:r>
              <w:rPr>
                <w:sz w:val="1"/>
                <w:szCs w:val="1"/>
              </w:rPr>
            </w:r>
            <w:bookmarkStart w:id="1" w:name="1"/>
            <w:bookmarkEnd w:id="1"/>
          </w:p>
        </w:tc>
        <w:tc>
          <w:tcPr>
            <w:tcW w:w="10333" w:type="dxa"/>
            <w:gridSpan w:val="10"/>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Arial" w:cs="Arial" w:ascii="Arial" w:hAnsi="Arial"/>
                <w:b/>
                <w:color w:val="000000"/>
                <w:sz w:val="24"/>
                <w:szCs w:val="24"/>
              </w:rPr>
              <w:t>ЗАЯВЛЕНИЕ</w:t>
            </w:r>
            <w:r>
              <w:rPr/>
              <w:t xml:space="preserve"> </w:t>
            </w:r>
            <w:r>
              <w:rPr>
                <w:rFonts w:eastAsia="Arial" w:cs="Arial" w:ascii="Arial" w:hAnsi="Arial"/>
                <w:b/>
                <w:color w:val="000000"/>
                <w:sz w:val="24"/>
                <w:szCs w:val="24"/>
              </w:rPr>
              <w:t xml:space="preserve">№ </w:t>
            </w:r>
            <w:r>
              <w:rPr/>
              <w:t xml:space="preserve"> </w:t>
            </w:r>
            <w:r>
              <w:rPr>
                <w:rFonts w:eastAsia="Arial" w:cs="Arial" w:ascii="Arial" w:hAnsi="Arial"/>
                <w:b/>
                <w:color w:val="000000"/>
                <w:sz w:val="24"/>
                <w:szCs w:val="24"/>
              </w:rPr>
              <w:t>от</w:t>
            </w:r>
            <w:r>
              <w:rPr/>
              <w:t xml:space="preserve"> </w:t>
            </w:r>
            <w:r>
              <w:rPr>
                <w:rFonts w:eastAsia="Arial" w:cs="Arial" w:ascii="Arial" w:hAnsi="Arial"/>
                <w:b/>
                <w:color w:val="000000"/>
                <w:sz w:val="24"/>
                <w:szCs w:val="24"/>
              </w:rPr>
              <w:t xml:space="preserve">10.09.2026</w:t>
            </w:r>
          </w:p>
          <w:p>
            <w:pPr>
              <w:pStyle w:val="Normal"/>
              <w:spacing w:lineRule="auto" w:line="238" w:beforeAutospacing="0" w:before="0" w:afterAutospacing="0" w:after="0"/>
              <w:ind w:start="30" w:end="30"/>
              <w:jc w:val="center"/>
              <w:rPr>
                <w:sz w:val="24"/>
                <w:szCs w:val="24"/>
              </w:rPr>
            </w:pPr>
            <w:r>
              <w:rPr>
                <w:rFonts w:eastAsia="Arial" w:cs="Arial" w:ascii="Arial" w:hAnsi="Arial"/>
                <w:b/>
                <w:color w:val="000000"/>
                <w:sz w:val="24"/>
                <w:szCs w:val="24"/>
              </w:rPr>
              <w:t>на</w:t>
            </w:r>
            <w:r>
              <w:rPr/>
              <w:t xml:space="preserve"> </w:t>
            </w:r>
            <w:r>
              <w:rPr>
                <w:rFonts w:eastAsia="Arial" w:cs="Arial" w:ascii="Arial" w:hAnsi="Arial"/>
                <w:b/>
                <w:color w:val="000000"/>
                <w:sz w:val="24"/>
                <w:szCs w:val="24"/>
              </w:rPr>
              <w:t>проведение</w:t>
            </w:r>
            <w:r>
              <w:rPr/>
              <w:t xml:space="preserve"> </w:t>
            </w:r>
            <w:r>
              <w:rPr>
                <w:rFonts w:eastAsia="Arial" w:cs="Arial" w:ascii="Arial" w:hAnsi="Arial"/>
                <w:b/>
                <w:color w:val="000000"/>
                <w:sz w:val="24"/>
                <w:szCs w:val="24"/>
              </w:rPr>
              <w:t>регистрации</w:t>
            </w:r>
            <w:r>
              <w:rPr/>
              <w:t xml:space="preserve"> </w:t>
            </w:r>
            <w:r>
              <w:rPr>
                <w:rFonts w:eastAsia="Arial" w:cs="Arial" w:ascii="Arial" w:hAnsi="Arial"/>
                <w:b/>
                <w:color w:val="000000"/>
                <w:sz w:val="24"/>
                <w:szCs w:val="24"/>
              </w:rPr>
              <w:t>декларации</w:t>
            </w:r>
            <w:r>
              <w:rPr/>
              <w:t xml:space="preserve"> </w:t>
            </w:r>
            <w:r>
              <w:rPr>
                <w:rFonts w:eastAsia="Arial" w:cs="Arial" w:ascii="Arial" w:hAnsi="Arial"/>
                <w:b/>
                <w:color w:val="000000"/>
                <w:sz w:val="24"/>
                <w:szCs w:val="24"/>
              </w:rPr>
              <w:t>о</w:t>
            </w:r>
            <w:r>
              <w:rPr/>
              <w:t xml:space="preserve"> </w:t>
            </w:r>
            <w:r>
              <w:rPr>
                <w:rFonts w:eastAsia="Arial" w:cs="Arial" w:ascii="Arial" w:hAnsi="Arial"/>
                <w:b/>
                <w:color w:val="000000"/>
                <w:sz w:val="24"/>
                <w:szCs w:val="24"/>
              </w:rPr>
              <w:t>соответствии</w:t>
            </w:r>
            <w:r>
              <w:rPr/>
              <w:t xml:space="preserve"> </w:t>
            </w:r>
            <w:r>
              <w:rPr>
                <w:rFonts w:eastAsia="Arial" w:cs="Arial" w:ascii="Arial" w:hAnsi="Arial"/>
                <w:b/>
                <w:color w:val="000000"/>
                <w:sz w:val="24"/>
                <w:szCs w:val="24"/>
              </w:rPr>
              <w:t>продукции</w:t>
            </w:r>
            <w:r>
              <w:rPr/>
              <w:t xml:space="preserve"> </w:t>
            </w:r>
            <w:r>
              <w:rPr>
                <w:rFonts w:eastAsia="Arial" w:cs="Arial" w:ascii="Arial" w:hAnsi="Arial"/>
                <w:b/>
                <w:color w:val="000000"/>
                <w:sz w:val="24"/>
                <w:szCs w:val="24"/>
              </w:rPr>
              <w:t>требованиям</w:t>
            </w:r>
            <w:r>
              <w:rPr/>
              <w:t xml:space="preserve"> </w:t>
            </w:r>
            <w:r>
              <w:rPr>
                <w:rFonts w:eastAsia="Arial" w:cs="Arial" w:ascii="Arial" w:hAnsi="Arial"/>
                <w:b/>
                <w:color w:val="000000"/>
                <w:sz w:val="24"/>
                <w:szCs w:val="24"/>
              </w:rPr>
              <w:t>технического</w:t>
            </w:r>
            <w:r>
              <w:rPr/>
              <w:t xml:space="preserve"> </w:t>
            </w:r>
            <w:r>
              <w:rPr>
                <w:rFonts w:eastAsia="Arial" w:cs="Arial" w:ascii="Arial" w:hAnsi="Arial"/>
                <w:b/>
                <w:color w:val="000000"/>
                <w:sz w:val="24"/>
                <w:szCs w:val="24"/>
              </w:rPr>
              <w:t>регламента</w:t>
            </w:r>
            <w:r>
              <w:rPr/>
              <w:t xml:space="preserve"> </w:t>
            </w:r>
            <w:r>
              <w:rPr>
                <w:rFonts w:eastAsia="Arial" w:cs="Arial" w:ascii="Arial" w:hAnsi="Arial"/>
                <w:b/>
                <w:color w:val="000000"/>
                <w:sz w:val="24"/>
                <w:szCs w:val="24"/>
              </w:rPr>
              <w:t>Евразийского</w:t>
            </w:r>
            <w:r>
              <w:rPr/>
              <w:t xml:space="preserve"> </w:t>
            </w:r>
            <w:r>
              <w:rPr>
                <w:rFonts w:eastAsia="Arial" w:cs="Arial" w:ascii="Arial" w:hAnsi="Arial"/>
                <w:b/>
                <w:color w:val="000000"/>
                <w:sz w:val="24"/>
                <w:szCs w:val="24"/>
              </w:rPr>
              <w:t>экономического</w:t>
            </w:r>
            <w:r>
              <w:rPr/>
              <w:t xml:space="preserve"> </w:t>
            </w:r>
            <w:r>
              <w:rPr>
                <w:rFonts w:eastAsia="Arial" w:cs="Arial" w:ascii="Arial" w:hAnsi="Arial"/>
                <w:b/>
                <w:color w:val="000000"/>
                <w:sz w:val="24"/>
                <w:szCs w:val="24"/>
              </w:rPr>
              <w:t>союза</w:t>
            </w:r>
            <w:r>
              <w:rPr/>
              <w:t xml:space="preserve"> </w:t>
            </w:r>
            <w:r>
              <w:rPr>
                <w:rFonts w:eastAsia="Arial" w:cs="Arial" w:ascii="Arial" w:hAnsi="Arial"/>
                <w:b/>
                <w:color w:val="000000"/>
                <w:sz w:val="24"/>
                <w:szCs w:val="24"/>
              </w:rPr>
              <w:t>(ТР</w:t>
            </w:r>
            <w:r>
              <w:rPr/>
              <w:t xml:space="preserve"> </w:t>
            </w:r>
            <w:r>
              <w:rPr>
                <w:rFonts w:eastAsia="Arial" w:cs="Arial" w:ascii="Arial" w:hAnsi="Arial"/>
                <w:b/>
                <w:color w:val="000000"/>
                <w:sz w:val="24"/>
                <w:szCs w:val="24"/>
              </w:rPr>
              <w:t>ЕАЭС)</w:t>
            </w:r>
          </w:p>
        </w:tc>
      </w:tr>
      <w:tr>
        <w:trPr>
          <w:trHeight w:val="143"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1"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Заявитель</w:t>
            </w:r>
            <w:r>
              <w:rPr/>
              <w:t xml:space="preserve"> </w:t>
            </w:r>
            <w:r>
              <w:rPr>
                <w:rFonts w:eastAsia="Times New Roman" w:cs="Times New Roman" w:ascii="Times New Roman" w:hAnsi="Times New Roman"/>
                <w:color w:val="000000"/>
                <w:sz w:val="24"/>
                <w:szCs w:val="24"/>
              </w:rPr>
              <w:t xml:space="preserve">ОБЩЕСТВО С ОГРАНИЧЕННОЙ ОТВЕТСТВЕННОСТЬЮ "МАЯК"</w:t>
            </w:r>
          </w:p>
        </w:tc>
      </w:tr>
      <w:tr>
        <w:trPr>
          <w:trHeight w:val="204"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заявителя</w:t>
            </w:r>
          </w:p>
        </w:tc>
      </w:tr>
      <w:tr>
        <w:trPr>
          <w:trHeight w:val="290"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основной</w:t>
            </w:r>
            <w:r>
              <w:rPr/>
              <w:t xml:space="preserve"> </w:t>
            </w:r>
            <w:r>
              <w:rPr>
                <w:rFonts w:eastAsia="Times New Roman" w:cs="Times New Roman" w:ascii="Times New Roman" w:hAnsi="Times New Roman"/>
                <w:color w:val="000000"/>
                <w:sz w:val="24"/>
                <w:szCs w:val="24"/>
              </w:rPr>
              <w:t>государственный</w:t>
            </w:r>
            <w:r>
              <w:rPr/>
              <w:t xml:space="preserve"> </w:t>
            </w:r>
            <w:r>
              <w:rPr>
                <w:rFonts w:eastAsia="Times New Roman" w:cs="Times New Roman" w:ascii="Times New Roman" w:hAnsi="Times New Roman"/>
                <w:color w:val="000000"/>
                <w:sz w:val="24"/>
                <w:szCs w:val="24"/>
              </w:rPr>
              <w:t>регистрационный</w:t>
            </w:r>
            <w:r>
              <w:rPr/>
              <w:t xml:space="preserve"> </w:t>
            </w:r>
            <w:r>
              <w:rPr>
                <w:rFonts w:eastAsia="Times New Roman" w:cs="Times New Roman" w:ascii="Times New Roman" w:hAnsi="Times New Roman"/>
                <w:color w:val="000000"/>
                <w:sz w:val="24"/>
                <w:szCs w:val="24"/>
              </w:rPr>
              <w:t>номер</w:t>
            </w:r>
            <w:r>
              <w:rPr/>
              <w:t xml:space="preserve"> </w:t>
            </w:r>
            <w:r>
              <w:rPr>
                <w:rFonts w:eastAsia="Times New Roman" w:cs="Times New Roman" w:ascii="Times New Roman" w:hAnsi="Times New Roman"/>
                <w:color w:val="000000"/>
                <w:sz w:val="24"/>
                <w:szCs w:val="24"/>
              </w:rPr>
              <w:t xml:space="preserve">5157746008195</w:t>
            </w:r>
          </w:p>
        </w:tc>
      </w:tr>
      <w:tr>
        <w:trPr>
          <w:trHeight w:val="565"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юридического</w:t>
            </w:r>
            <w:r>
              <w:rPr/>
              <w:t xml:space="preserve"> </w:t>
            </w:r>
            <w:r>
              <w:rPr>
                <w:rFonts w:eastAsia="Times New Roman" w:cs="Times New Roman" w:ascii="Times New Roman" w:hAnsi="Times New Roman"/>
                <w:color w:val="000000"/>
                <w:sz w:val="24"/>
                <w:szCs w:val="24"/>
              </w:rPr>
              <w:t>лица):</w:t>
            </w:r>
            <w:r>
              <w:rPr/>
              <w:t xml:space="preserve"> </w:t>
            </w:r>
            <w:r>
              <w:rPr>
                <w:rFonts w:eastAsia="Times New Roman" w:cs="Times New Roman" w:ascii="Times New Roman" w:hAnsi="Times New Roman"/>
                <w:color w:val="000000"/>
                <w:sz w:val="24"/>
                <w:szCs w:val="24"/>
              </w:rPr>
              <w:t xml:space="preserve">109052, г Москва, Нижегородский р-н, ул Подъёмная, д 12 стр 1, помещ 2/1</w:t>
            </w:r>
          </w:p>
        </w:tc>
      </w:tr>
      <w:tr>
        <w:trPr>
          <w:trHeight w:val="565"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Телефон:</w:t>
            </w:r>
            <w:r>
              <w:rPr/>
              <w:t xml:space="preserve"> </w:t>
            </w:r>
            <w:r>
              <w:rPr>
                <w:rFonts w:eastAsia="Times New Roman" w:cs="Times New Roman" w:ascii="Times New Roman" w:hAnsi="Times New Roman"/>
                <w:color w:val="000000"/>
                <w:sz w:val="24"/>
                <w:szCs w:val="24"/>
              </w:rPr>
              <w:t xml:space="preserve">+7 (495) 664-50-95</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электронной</w:t>
            </w:r>
            <w:r>
              <w:rPr/>
              <w:t xml:space="preserve"> </w:t>
            </w:r>
            <w:r>
              <w:rPr>
                <w:rFonts w:eastAsia="Times New Roman" w:cs="Times New Roman" w:ascii="Times New Roman" w:hAnsi="Times New Roman"/>
                <w:color w:val="000000"/>
                <w:sz w:val="24"/>
                <w:szCs w:val="24"/>
              </w:rPr>
              <w:t>почты:</w:t>
            </w:r>
            <w:r>
              <w:rPr/>
              <w:t xml:space="preserve"> </w:t>
            </w:r>
            <w:r>
              <w:rPr>
                <w:rFonts w:eastAsia="Times New Roman" w:cs="Times New Roman" w:ascii="Times New Roman" w:hAnsi="Times New Roman"/>
                <w:color w:val="000000"/>
                <w:sz w:val="24"/>
                <w:szCs w:val="24"/>
              </w:rPr>
              <w:t xml:space="preserve">info@mayaklogistics.ru</w:t>
            </w:r>
          </w:p>
        </w:tc>
      </w:tr>
      <w:tr>
        <w:trPr>
          <w:trHeight w:val="290"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в</w:t>
            </w:r>
            <w:r>
              <w:rPr/>
              <w:t xml:space="preserve"> </w:t>
            </w:r>
            <w:r>
              <w:rPr>
                <w:rFonts w:eastAsia="Times New Roman" w:cs="Times New Roman" w:ascii="Times New Roman" w:hAnsi="Times New Roman"/>
                <w:b/>
                <w:color w:val="000000"/>
                <w:sz w:val="24"/>
                <w:szCs w:val="24"/>
              </w:rPr>
              <w:t>лице</w:t>
            </w:r>
            <w:r>
              <w:rPr/>
              <w:t xml:space="preserve"> </w:t>
            </w:r>
            <w:r>
              <w:rPr>
                <w:rFonts w:eastAsia="Times New Roman" w:cs="Times New Roman" w:ascii="Times New Roman" w:hAnsi="Times New Roman"/>
                <w:color w:val="000000"/>
                <w:sz w:val="24"/>
                <w:szCs w:val="24"/>
              </w:rPr>
              <w:t xml:space="preserve">генерального директора Левина Николая Александровича</w:t>
            </w:r>
          </w:p>
        </w:tc>
      </w:tr>
      <w:tr>
        <w:trPr>
          <w:trHeight w:val="184"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333"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фамилия, имя, отчество руководителя, должность</w:t>
            </w:r>
          </w:p>
        </w:tc>
      </w:tr>
      <w:tr>
        <w:trPr>
          <w:trHeight w:val="20" w:hRule="atLeast"/>
        </w:trPr>
        <w:tc>
          <w:tcPr>
            <w:tcW w:w="10335"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просит</w:t>
            </w:r>
            <w:r>
              <w:rPr/>
              <w:t xml:space="preserve"> </w:t>
            </w:r>
            <w:r>
              <w:rPr>
                <w:rFonts w:eastAsia="Times New Roman" w:cs="Times New Roman" w:ascii="Times New Roman" w:hAnsi="Times New Roman"/>
                <w:b/>
                <w:color w:val="000000"/>
                <w:sz w:val="24"/>
                <w:szCs w:val="24"/>
              </w:rPr>
              <w:t>провести</w:t>
            </w:r>
            <w:r>
              <w:rPr/>
              <w:t xml:space="preserve"> </w:t>
            </w:r>
            <w:r>
              <w:rPr>
                <w:rFonts w:eastAsia="Times New Roman" w:cs="Times New Roman" w:ascii="Times New Roman" w:hAnsi="Times New Roman"/>
                <w:b/>
                <w:color w:val="000000"/>
                <w:sz w:val="24"/>
                <w:szCs w:val="24"/>
              </w:rPr>
              <w:t>регистрацию</w:t>
            </w:r>
            <w:r>
              <w:rPr/>
              <w:t xml:space="preserve"> </w:t>
            </w:r>
            <w:r>
              <w:rPr>
                <w:rFonts w:eastAsia="Times New Roman" w:cs="Times New Roman" w:ascii="Times New Roman" w:hAnsi="Times New Roman"/>
                <w:b/>
                <w:color w:val="000000"/>
                <w:sz w:val="24"/>
                <w:szCs w:val="24"/>
              </w:rPr>
              <w:t>декларации</w:t>
            </w:r>
            <w:r>
              <w:rPr/>
              <w:t xml:space="preserve"> </w:t>
            </w:r>
            <w:r>
              <w:rPr>
                <w:rFonts w:eastAsia="Times New Roman" w:cs="Times New Roman" w:ascii="Times New Roman" w:hAnsi="Times New Roman"/>
                <w:b/>
                <w:color w:val="000000"/>
                <w:sz w:val="24"/>
                <w:szCs w:val="24"/>
              </w:rPr>
              <w:t>о</w:t>
            </w:r>
            <w:r>
              <w:rPr/>
              <w:t xml:space="preserve"> </w:t>
            </w:r>
            <w:r>
              <w:rPr>
                <w:rFonts w:eastAsia="Times New Roman" w:cs="Times New Roman" w:ascii="Times New Roman" w:hAnsi="Times New Roman"/>
                <w:b/>
                <w:color w:val="000000"/>
                <w:sz w:val="24"/>
                <w:szCs w:val="24"/>
              </w:rPr>
              <w:t>соответствии</w:t>
            </w:r>
            <w:r>
              <w:rPr/>
              <w:t xml:space="preserve"> </w:t>
            </w:r>
            <w:r>
              <w:rPr>
                <w:rFonts w:eastAsia="Times New Roman" w:cs="Times New Roman" w:ascii="Times New Roman" w:hAnsi="Times New Roman"/>
                <w:b/>
                <w:color w:val="000000"/>
                <w:sz w:val="24"/>
                <w:szCs w:val="24"/>
              </w:rPr>
              <w:t>продукции</w:t>
            </w:r>
          </w:p>
        </w:tc>
        <w:tc>
          <w:tcPr>
            <w:tcW w:w="13" w:type="dxa"/>
            <w:tcBorders/>
            <w:tcMar>
              <w:start w:w="34" w:type="dxa"/>
              <w:end w:w="34" w:type="dxa"/>
            </w:tcMar>
          </w:tcPr>
          <w:p>
            <w:pPr>
              <w:pStyle w:val="Normal"/>
              <w:spacing w:lineRule="auto" w:line="238" w:beforeAutospacing="0" w:before="0" w:afterAutospacing="0" w:after="0"/>
              <w:ind w:start="30" w:end="30"/>
              <w:jc w:val="center"/>
              <w:rPr>
                <w:sz w:val="16"/>
                <w:szCs w:val="16"/>
              </w:rPr>
            </w:pPr>
            <w:r>
              <w:rPr>
                <w:sz w:val="16"/>
                <w:szCs w:val="16"/>
              </w:rPr>
            </w:r>
          </w:p>
        </w:tc>
      </w:tr>
      <w:tr>
        <w:trPr>
          <w:trHeight w:val="270" w:hRule="atLeast"/>
        </w:trPr>
        <w:tc>
          <w:tcPr>
            <w:tcW w:w="10335"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 xml:space="preserve">Клапаны, клапаны регулирующие санитарные, клапаны жидкостные, пневматические клапаны, дроссельные клапаны, редукционные клапаны, терморегулируемые клапаны, клапанные блоки, электроклапаны, электромагнитные клапаны, краны, вентили, вентили запорные жидкостные, регуляторы давления, датчики давления, направляющие, ниппели, редукционные ниппели, задвижки, затворы, редукторы давления, регуляторы–редукторы давления торговой марки Lifei</w:t>
            </w:r>
            <w:r>
              <w:rPr/>
              <w:b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07" w:hRule="atLeast"/>
        </w:trPr>
        <w:tc>
          <w:tcPr>
            <w:tcW w:w="10335"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продукции</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5" w:hRule="atLeast"/>
        </w:trPr>
        <w:tc>
          <w:tcPr>
            <w:tcW w:w="10335"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Изготовитель</w:t>
            </w:r>
            <w:r>
              <w:rPr/>
              <w:t xml:space="preserve"> </w:t>
            </w:r>
            <w:r>
              <w:rPr>
                <w:rFonts w:eastAsia="Times New Roman" w:cs="Times New Roman" w:ascii="Times New Roman" w:hAnsi="Times New Roman"/>
                <w:color w:val="000000"/>
                <w:sz w:val="24"/>
                <w:szCs w:val="24"/>
              </w:rPr>
              <w:t xml:space="preserve">Wenzhou Lifei Stainless Steel Co., Ltd.</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99" w:hRule="atLeast"/>
        </w:trPr>
        <w:tc>
          <w:tcPr>
            <w:tcW w:w="10335"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04" w:hRule="atLeast"/>
        </w:trPr>
        <w:tc>
          <w:tcPr>
            <w:tcW w:w="10335"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изготовителя</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7"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1"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 xml:space="preserve">Китай, No. 588, Binhai No. 15 Street, 3rd Road, Binhai Economic &amp; Technical Development Zone, Wenzhou, China (Zip: 325025)</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места</w:t>
            </w:r>
            <w:r>
              <w:rPr/>
              <w:t xml:space="preserve"> </w:t>
            </w:r>
            <w:r>
              <w:rPr>
                <w:rFonts w:eastAsia="Times New Roman" w:cs="Times New Roman" w:ascii="Times New Roman" w:hAnsi="Times New Roman"/>
                <w:color w:val="000000"/>
                <w:sz w:val="24"/>
                <w:szCs w:val="24"/>
              </w:rPr>
              <w:t>осуществления</w:t>
            </w:r>
            <w:r>
              <w:rPr/>
              <w:t xml:space="preserve"> </w:t>
            </w:r>
            <w:r>
              <w:rPr>
                <w:rFonts w:eastAsia="Times New Roman" w:cs="Times New Roman" w:ascii="Times New Roman" w:hAnsi="Times New Roman"/>
                <w:color w:val="000000"/>
                <w:sz w:val="24"/>
                <w:szCs w:val="24"/>
              </w:rPr>
              <w:t>деятельности</w:t>
            </w:r>
            <w:r>
              <w:rPr/>
              <w:t xml:space="preserve"> </w:t>
            </w:r>
            <w:r>
              <w:rPr>
                <w:rFonts w:eastAsia="Times New Roman" w:cs="Times New Roman" w:ascii="Times New Roman" w:hAnsi="Times New Roman"/>
                <w:color w:val="000000"/>
                <w:sz w:val="24"/>
                <w:szCs w:val="24"/>
              </w:rPr>
              <w:t>по</w:t>
            </w:r>
            <w:r>
              <w:rPr/>
              <w:t xml:space="preserve"> </w:t>
            </w:r>
            <w:r>
              <w:rPr>
                <w:rFonts w:eastAsia="Times New Roman" w:cs="Times New Roman" w:ascii="Times New Roman" w:hAnsi="Times New Roman"/>
                <w:color w:val="000000"/>
                <w:sz w:val="24"/>
                <w:szCs w:val="24"/>
              </w:rPr>
              <w:t>изготовлению</w:t>
            </w:r>
            <w:r>
              <w:rPr/>
              <w:t xml:space="preserve"> </w:t>
            </w:r>
            <w:r>
              <w:rPr>
                <w:rFonts w:eastAsia="Times New Roman" w:cs="Times New Roman" w:ascii="Times New Roman" w:hAnsi="Times New Roman"/>
                <w:color w:val="000000"/>
                <w:sz w:val="24"/>
                <w:szCs w:val="24"/>
              </w:rPr>
              <w:t>продукции:</w:t>
            </w:r>
            <w:r>
              <w:rPr/>
              <w:t xml:space="preserve"> </w:t>
            </w:r>
            <w:r>
              <w:rPr>
                <w:rFonts w:eastAsia="Times New Roman" w:cs="Times New Roman" w:ascii="Times New Roman" w:hAnsi="Times New Roman"/>
                <w:color w:val="000000"/>
                <w:sz w:val="24"/>
                <w:szCs w:val="24"/>
              </w:rPr>
              <w:t xml:space="preserve">Китай, No. 588, Binhai No. 15 Street, 3rd Road, Binhai Economic &amp; Technical Development Zone, Wenzhou, China (Zip: 325025)</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89"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Код</w:t>
            </w:r>
            <w:r>
              <w:rPr/>
              <w:t xml:space="preserve"> </w:t>
            </w:r>
            <w:r>
              <w:rPr>
                <w:rFonts w:eastAsia="Times New Roman" w:cs="Times New Roman" w:ascii="Times New Roman" w:hAnsi="Times New Roman"/>
                <w:b/>
                <w:color w:val="000000"/>
                <w:sz w:val="24"/>
                <w:szCs w:val="24"/>
              </w:rPr>
              <w:t>(коды)</w:t>
            </w:r>
            <w:r>
              <w:rPr/>
              <w:t xml:space="preserve"> </w:t>
            </w:r>
            <w:r>
              <w:rPr>
                <w:rFonts w:eastAsia="Times New Roman" w:cs="Times New Roman" w:ascii="Times New Roman" w:hAnsi="Times New Roman"/>
                <w:b/>
                <w:color w:val="000000"/>
                <w:sz w:val="24"/>
                <w:szCs w:val="24"/>
              </w:rPr>
              <w:t>ТН</w:t>
            </w:r>
            <w:r>
              <w:rPr/>
              <w:t xml:space="preserve"> </w:t>
            </w:r>
            <w:r>
              <w:rPr>
                <w:rFonts w:eastAsia="Times New Roman" w:cs="Times New Roman" w:ascii="Times New Roman" w:hAnsi="Times New Roman"/>
                <w:b/>
                <w:color w:val="000000"/>
                <w:sz w:val="24"/>
                <w:szCs w:val="24"/>
              </w:rPr>
              <w:t>ВЭД</w:t>
            </w:r>
            <w:r>
              <w:rPr/>
              <w:t xml:space="preserve"> </w:t>
            </w:r>
            <w:r>
              <w:rPr>
                <w:rFonts w:eastAsia="Times New Roman" w:cs="Times New Roman" w:ascii="Times New Roman" w:hAnsi="Times New Roman"/>
                <w:b/>
                <w:color w:val="000000"/>
                <w:sz w:val="24"/>
                <w:szCs w:val="24"/>
              </w:rPr>
              <w:t>ЕАЭС</w:t>
            </w:r>
            <w:r>
              <w:rPr/>
              <w:t xml:space="preserve"> </w:t>
            </w:r>
            <w:r>
              <w:rPr>
                <w:rFonts w:eastAsia="Times New Roman" w:cs="Times New Roman" w:ascii="Times New Roman" w:hAnsi="Times New Roman"/>
                <w:color w:val="000000"/>
                <w:sz w:val="24"/>
                <w:szCs w:val="24"/>
              </w:rPr>
              <w:t>:</w:t>
            </w:r>
            <w:r>
              <w:rPr/>
              <w:t xml:space="preserve"> </w:t>
            </w:r>
            <w:r>
              <w:rPr>
                <w:rFonts w:eastAsia="Times New Roman" w:cs="Times New Roman" w:ascii="Times New Roman" w:hAnsi="Times New Roman"/>
                <w:color w:val="000000"/>
                <w:sz w:val="24"/>
                <w:szCs w:val="24"/>
              </w:rPr>
              <w:t xml:space="preserve">8481</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 xml:space="preserve">Серийный выпуск</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3"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1"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схема</w:t>
            </w:r>
            <w:r>
              <w:rPr/>
              <w:t xml:space="preserve"> </w:t>
            </w:r>
            <w:r>
              <w:rPr>
                <w:rFonts w:eastAsia="Times New Roman" w:cs="Times New Roman" w:ascii="Times New Roman" w:hAnsi="Times New Roman"/>
                <w:b/>
                <w:color w:val="000000"/>
                <w:sz w:val="24"/>
                <w:szCs w:val="24"/>
              </w:rPr>
              <w:t xml:space="preserve">декларирования:</w:t>
            </w:r>
            <w:r>
              <w:rPr/>
              <w:t xml:space="preserve"> 1д</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5"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Продукция</w:t>
            </w:r>
            <w:r>
              <w:rPr/>
              <w:t xml:space="preserve"> </w:t>
            </w:r>
            <w:r>
              <w:rPr>
                <w:rFonts w:eastAsia="Times New Roman" w:cs="Times New Roman" w:ascii="Times New Roman" w:hAnsi="Times New Roman"/>
                <w:b/>
                <w:color w:val="000000"/>
                <w:sz w:val="24"/>
                <w:szCs w:val="24"/>
              </w:rPr>
              <w:t>соответствует</w:t>
            </w:r>
            <w:r>
              <w:rPr/>
              <w:t xml:space="preserve"> </w:t>
            </w:r>
            <w:r>
              <w:rPr>
                <w:rFonts w:eastAsia="Times New Roman" w:cs="Times New Roman" w:ascii="Times New Roman" w:hAnsi="Times New Roman"/>
                <w:b/>
                <w:color w:val="000000"/>
                <w:sz w:val="24"/>
                <w:szCs w:val="24"/>
              </w:rPr>
              <w:t>требованиям</w:t>
            </w:r>
            <w:r>
              <w:rPr/>
              <w:t xml:space="preserve"> </w:t>
            </w:r>
            <w:r>
              <w:rPr>
                <w:rFonts w:eastAsia="Times New Roman" w:cs="Times New Roman" w:ascii="Times New Roman" w:hAnsi="Times New Roman"/>
                <w:color w:val="000000"/>
                <w:sz w:val="24"/>
                <w:szCs w:val="24"/>
              </w:rPr>
              <w:t xml:space="preserve">Технического регламента Таможенного союза "О безопасности машин и оборудования" (ТР ТС 010/2011)</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2"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1"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5" w:type="dxa"/>
            <w:gridSpan w:val="10"/>
            <w:tcBorders/>
            <w:tcMar>
              <w:start w:w="4" w:type="dxa"/>
              <w:end w:w="34" w:type="dxa"/>
            </w:tcMar>
          </w:tcPr>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b/>
                <w:color w:val="000000"/>
                <w:sz w:val="24"/>
                <w:szCs w:val="24"/>
              </w:rPr>
              <w:t>Дополнительные сведения:</w:t>
            </w:r>
            <w:r>
              <w:rPr/>
            </w:r>
            <w:r>
              <w:rPr>
                <w:rFonts w:eastAsia="Times New Roman" w:cs="Times New Roman" w:ascii="Times New Roman" w:hAnsi="Times New Roman"/>
                <w:b/>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r>
            <w:r>
              <w:rPr>
                <w:rFonts w:eastAsia="Times New Roman" w:cs="Times New Roman" w:ascii="Times New Roman" w:hAnsi="Times New Roman"/>
                <w:b w:val="0"/>
                <w:color w:val="000000"/>
                <w:sz w:val="24"/>
                <w:szCs w:val="24"/>
              </w:rPr>
              <w:br/>
              <w:t>Договор уполномоченного лица № 10-07-26-435 от 10.07.2026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t>-</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r>
              <w:rPr/>
            </w:r>
            <w:r>
              <w:rPr>
                <w:rFonts w:eastAsia="Times New Roman" w:cs="Times New Roman" w:ascii="Times New Roman" w:hAnsi="Times New Roman"/>
                <w:color w:val="000000"/>
                <w:sz w:val="24"/>
                <w:szCs w:val="24"/>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64" w:hRule="atLeast"/>
        </w:trPr>
        <w:tc>
          <w:tcPr>
            <w:tcW w:w="15"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1"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3139" w:type="dxa"/>
            <w:gridSpan w:val="4"/>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Генеральный директор</w:t>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tcBorders/>
            <w:tcMar>
              <w:start w:w="34" w:type="dxa"/>
              <w:end w:w="34" w:type="dxa"/>
            </w:tcMar>
            <w:vAlign w:val="bottom"/>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 xml:space="preserve">Левин Н.А.</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50"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1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подпись</w:t>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инициалы, фамилия</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2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95"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restart"/>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 xml:space="preserve">10.09.2026</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95" w:hRule="atLeast"/>
        </w:trPr>
        <w:tc>
          <w:tcPr>
            <w:tcW w:w="1058" w:type="dxa"/>
            <w:gridSpan w:val="2"/>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741" w:type="dxa"/>
            <w:vMerge w:val="restart"/>
            <w:tcBorders/>
            <w:tcMar>
              <w:start w:w="34" w:type="dxa"/>
              <w:end w:w="34" w:type="dxa"/>
            </w:tcMar>
          </w:tcPr>
          <w:p>
            <w:pPr>
              <w:pStyle w:val="Normal"/>
              <w:spacing w:lineRule="auto" w:line="238" w:beforeAutospacing="0" w:before="0" w:afterAutospacing="0" w:after="0"/>
              <w:ind w:start="30" w:end="30"/>
              <w:jc w:val="center"/>
              <w:rPr>
                <w:sz w:val="19"/>
                <w:szCs w:val="19"/>
              </w:rPr>
            </w:pPr>
            <w:r>
              <w:rPr>
                <w:rFonts w:eastAsia="Times New Roman" w:cs="Times New Roman" w:ascii="Times New Roman" w:hAnsi="Times New Roman"/>
                <w:color w:val="000000"/>
                <w:sz w:val="19"/>
                <w:szCs w:val="19"/>
              </w:rPr>
              <w:t>МП</w:t>
            </w:r>
          </w:p>
        </w:tc>
        <w:tc>
          <w:tcPr>
            <w:tcW w:w="1340" w:type="dxa"/>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6" w:hRule="atLeast"/>
        </w:trPr>
        <w:tc>
          <w:tcPr>
            <w:tcW w:w="1058"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1"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10" w:type="dxa"/>
            <w:tcBorders/>
          </w:tcPr>
          <w:p>
            <w:pPr>
              <w:pStyle w:val="Normal"/>
              <w:spacing w:lineRule="atLeast" w:line="0" w:beforeAutospacing="0" w:before="0" w:afterAutospacing="0" w:after="0"/>
              <w:rPr>
                <w:sz w:val="1"/>
                <w:szCs w:val="1"/>
              </w:rPr>
            </w:pPr>
            <w:r>
              <w:rPr>
                <w:sz w:val="1"/>
                <w:szCs w:val="1"/>
              </w:rPr>
            </w:r>
          </w:p>
        </w:tc>
        <w:tc>
          <w:tcPr>
            <w:tcW w:w="4128" w:type="dxa"/>
            <w:tcBorders/>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28" w:hRule="atLeast"/>
        </w:trPr>
        <w:tc>
          <w:tcPr>
            <w:tcW w:w="1058"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1"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restart"/>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Дата</w:t>
            </w:r>
          </w:p>
        </w:tc>
        <w:tc>
          <w:tcPr>
            <w:tcW w:w="13" w:type="dxa"/>
            <w:tcBorders/>
          </w:tcPr>
          <w:p>
            <w:pPr>
              <w:pStyle w:val="Normal"/>
              <w:spacing w:lineRule="atLeast" w:line="0" w:beforeAutospacing="0" w:before="0" w:afterAutospacing="0" w:after="0"/>
              <w:rPr>
                <w:sz w:val="1"/>
                <w:szCs w:val="1"/>
              </w:rPr>
            </w:pPr>
            <w:r>
              <w:rPr>
                <w:sz w:val="1"/>
                <w:szCs w:val="1"/>
              </w:rPr>
            </w:r>
          </w:p>
        </w:tc>
      </w:tr>
      <w:tr>
        <w:trPr>
          <w:trHeight w:val="184" w:hRule="atLeast"/>
        </w:trPr>
        <w:tc>
          <w:tcPr>
            <w:tcW w:w="1058"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1" w:type="dxa"/>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3"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continue"/>
            <w:tcBorders>
              <w:top w:val="single" w:sz="8" w:space="0" w:color="000000"/>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 w:type="dxa"/>
            <w:tcBorders/>
          </w:tcPr>
          <w:p>
            <w:pPr>
              <w:pStyle w:val="Normal"/>
              <w:spacing w:lineRule="atLeast" w:line="0" w:beforeAutospacing="0" w:before="0" w:afterAutospacing="0" w:after="0"/>
              <w:rPr>
                <w:sz w:val="1"/>
                <w:szCs w:val="1"/>
              </w:rPr>
            </w:pPr>
            <w:r>
              <w:rPr>
                <w:sz w:val="1"/>
                <w:szCs w:val="1"/>
              </w:rPr>
            </w:r>
          </w:p>
        </w:tc>
      </w:tr>
    </w:tbl>
    <w:sectPr>
      <w:type w:val="nextPage"/>
      <w:pgSz w:w="11906" w:h="16838"/>
      <w:pgMar w:left="454" w:right="0" w:gutter="0" w:header="0" w:top="477" w:footer="0" w:bottom="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roman"/>
    <w:pitch w:val="variable"/>
  </w:font>
  <w:font w:name="Liberation Sans">
    <w:altName w:val="Arial"/>
    <w:charset w:val="01" w:characterSet="utf-8"/>
    <w:family w:val="swiss"/>
    <w:pitch w:val="variable"/>
  </w:font>
  <w:font w:name="Arial">
    <w:charset w:val="01" w:characterSet="utf-8"/>
    <w:family w:val="swiss"/>
    <w:pitch w:val="variable"/>
  </w:font>
  <w:font w:name="Times New Roman">
    <w:charset w:val="01" w:characterSet="utf-8"/>
    <w:family w:val="roman"/>
    <w:pitch w:val="variable"/>
  </w:font>
</w:fonts>
</file>

<file path=word/settings.xml><?xml version="1.0" encoding="utf-8"?>
<w:settings xmlns:w="http://schemas.openxmlformats.org/wordprocessingml/2006/main">
  <w:zoom w:percent="100"/>
  <w:embedSystemFonts/>
  <w:defaultTabStop w:val="720"/>
  <w:autoHyphenation w:val="true"/>
  <w:hyphenationZone w:val="0"/>
  <w:compat>
    <w:doNotExpandShiftReturn/>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DejaVu Sans" w:cs="DejaVu San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sdException w:name="footnote text" w:semiHidden="1" w:unhideWhenUsed="1"/>
    <w:lsdException w:name="annotation text" w:semiHidden="1" w:unhideWhenUsed="1"/>
    <w:lsdException w:name="header" w:semiHidden="1" w:unhideWhenUsed="1"/>
    <w:lsdException w:name="footer" w:semiHidden="1" w:unhideWhenUsed="1"/>
  </w:latentStyles>
  <w:style w:type="paragraph" w:styleId="Normal" w:default="1">
    <w:name w:val="Normal"/>
    <w:qFormat/>
    <w:pPr>
      <w:widowControl/>
      <w:suppressAutoHyphens w:val="true"/>
      <w:bidi w:val="0"/>
      <w:spacing w:lineRule="auto" w:line="276" w:before="0" w:after="200"/>
      <w:jc w:val="start"/>
    </w:pPr>
    <w:rPr>
      <w:rFonts w:ascii="Arial" w:hAnsi="Arial" w:eastAsia="DejaVu Sans" w:cs="DejaVu San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Sign" w:customStyle="1">
    <w:name w:val="Header Sign"/>
    <w:basedOn w:val="DefaultParagraphFont"/>
    <w:link w:val="Header"/>
    <w:uiPriority w:val="99"/>
    <w:qFormat/>
    <w:rsid w:val="00d87e1b"/>
    <w:rPr/>
  </w:style>
  <w:style w:type="character" w:styleId="FooterSign" w:customStyle="1">
    <w:name w:val="Footer Sign"/>
    <w:basedOn w:val="DefaultParagraphFont"/>
    <w:link w:val="Footer"/>
    <w:uiPriority w:val="99"/>
    <w:qFormat/>
    <w:rsid w:val="00d87e1b"/>
    <w:rPr/>
  </w:style>
  <w:style w:type="paragraph" w:styleId="Heading">
    <w:name w:val="Heading"/>
    <w:basedOn w:val="Normal"/>
    <w:next w:val="BodyText"/>
    <w:qFormat/>
    <w:pPr>
      <w:keepNext w:val="true"/>
      <w:spacing w:before="240" w:after="120"/>
    </w:pPr>
    <w:rPr>
      <w:rFonts w:ascii="Liberation Sans" w:hAnsi="Liberation Sans" w:eastAsia="DejaVu Sans" w:cs="DejaVu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HeaderSign"/>
    <w:uiPriority w:val="99"/>
    <w:unhideWhenUsed/>
    <w:rsid w:val="00d87e1b"/>
    <w:pPr>
      <w:tabs>
        <w:tab w:val="clear" w:pos="720"/>
        <w:tab w:val="center" w:pos="4677" w:leader="none"/>
        <w:tab w:val="right" w:pos="9355" w:leader="none"/>
      </w:tabs>
      <w:spacing w:lineRule="auto" w:line="240" w:before="0" w:after="0"/>
    </w:pPr>
    <w:rPr/>
  </w:style>
  <w:style w:type="paragraph" w:styleId="Footer">
    <w:name w:val="footer"/>
    <w:basedOn w:val="Normal"/>
    <w:link w:val="FooterSign"/>
    <w:uiPriority w:val="99"/>
    <w:unhideWhenUsed/>
    <w:rsid w:val="00d87e1b"/>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2026-09-10T11:56:23Z</dcterms:modified>
  <dc:creator/>
  <dc:description/>
  <dc:identifier/>
  <dc:language/>
  <dc:subject/>
</cp:coreProperties>
</file>