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марочное сухое красное Henri Germain et Fils Bressandes Beaune 1er Cru AOC / Анри Жерман э Фис Брессанд Бон 1ер Крю АОС, вино марочное сухое белое Henri Germain et Fils Bourgogne Cote d'Or AOC / Анри Жерман э Фис Бургонь Кот д'Ор АОС, вино марочное сухое белое Henri Germain et Fils Les Fairendes Morgeot Chassagne-Montrachet 1er Cru AOC / Анри Жерман э Фис Ле Феранд Моржо Шассань-Монраше 1ер Крю АОС, вино марочное сухое белое Henri Germain et Fils Meursault AOC / Анри Жерман э Фис Мерсо АОС, вино марочное сухое белое Henri Germain et Fils Meursault-Charmes 1er Cru AOC / Анри Жерман э Фис Мерсо-Шарм 1ер Крю АОС, вино марочное сухое красное Henri Germain et Fils Aux Gravains Savigny-Les-Beaune 1er Cru АОС / Анри Жерман э Фис О Гравен Савиньи-Ле-Бон 1ер Крю АОС;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Domaine Henri Germain et Fils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2 бис Ру ду Мулен Жудас, 21190 Мерсо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DR2026037 от 12.08.2026, Партия - 558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2026-09-17T07:54:58Z</dcterms:modified>
  <dc:creator/>
  <dc:description/>
  <dc:identifier/>
  <dc:language/>
  <dc:subject/>
</cp:coreProperties>
</file>