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350" w:type="dxa"/>
        <w:jc w:val="start"/>
        <w:tblInd w:w="147" w:type="dxa"/>
        <w:tblLayout w:type="fixed"/>
        <w:tblCellMar>
          <w:top w:w="0" w:type="dxa"/>
          <w:start w:w="0" w:type="dxa"/>
          <w:bottom w:w="0" w:type="dxa"/>
          <w:end w:w="0" w:type="dxa"/>
        </w:tblCellMar>
      </w:tblPr>
      <w:tblGrid>
        <w:gridCol w:w="14"/>
        <w:gridCol w:w="1043"/>
        <w:gridCol w:w="742"/>
        <w:gridCol w:w="1340"/>
        <w:gridCol w:w="21"/>
        <w:gridCol w:w="2654"/>
        <w:gridCol w:w="376"/>
        <w:gridCol w:w="8"/>
        <w:gridCol w:w="9"/>
        <w:gridCol w:w="4129"/>
        <w:gridCol w:w="12"/>
      </w:tblGrid>
      <w:tr>
        <w:trPr>
          <w:trHeight w:val="841" w:hRule="atLeast"/>
        </w:trPr>
        <w:tc>
          <w:tcPr>
            <w:tcW w:w="14" w:type="dxa"/>
            <w:tcBorders/>
          </w:tcPr>
          <w:p>
            <w:pPr>
              <w:pStyle w:val="Normal"/>
              <w:spacing w:lineRule="atLeast" w:line="0" w:beforeAutospacing="0" w:before="0" w:afterAutospacing="0" w:after="0"/>
              <w:rPr>
                <w:sz w:val="1"/>
                <w:szCs w:val="1"/>
              </w:rPr>
            </w:pPr>
            <w:r>
              <w:rPr>
                <w:sz w:val="1"/>
                <w:szCs w:val="1"/>
              </w:rPr>
            </w:r>
            <w:bookmarkStart w:id="1" w:name="1"/>
            <w:bookmarkEnd w:id="1"/>
          </w:p>
        </w:tc>
        <w:tc>
          <w:tcPr>
            <w:tcW w:w="10334" w:type="dxa"/>
            <w:gridSpan w:val="10"/>
            <w:tcBorders/>
            <w:tcMar>
              <w:start w:w="34" w:type="dxa"/>
              <w:end w:w="34" w:type="dxa"/>
            </w:tcMar>
          </w:tcPr>
          <w:p>
            <w:pPr>
              <w:pStyle w:val="Normal"/>
              <w:spacing w:lineRule="auto" w:line="238" w:beforeAutospacing="0" w:before="0" w:afterAutospacing="0" w:after="0"/>
              <w:ind w:start="30" w:end="30"/>
              <w:jc w:val="center"/>
              <w:rPr>
                <w:sz w:val="24"/>
                <w:szCs w:val="24"/>
              </w:rPr>
            </w:pPr>
            <w:r>
              <w:rPr>
                <w:rFonts w:eastAsia="Arial" w:cs="Arial"/>
                <w:b/>
                <w:color w:val="000000"/>
                <w:sz w:val="24"/>
                <w:szCs w:val="24"/>
              </w:rPr>
              <w:t>ЗАЯВЛЕНИЕ</w:t>
            </w:r>
            <w:r>
              <w:rPr/>
              <w:t xml:space="preserve"> </w:t>
            </w:r>
            <w:r>
              <w:rPr>
                <w:rFonts w:eastAsia="Arial" w:cs="Arial"/>
                <w:b/>
                <w:color w:val="000000"/>
                <w:sz w:val="24"/>
                <w:szCs w:val="24"/>
              </w:rPr>
              <w:t xml:space="preserve">№ </w:t>
            </w:r>
            <w:r>
              <w:rPr/>
              <w:t xml:space="preserve"> </w:t>
            </w:r>
            <w:r>
              <w:rPr>
                <w:rFonts w:eastAsia="Arial" w:cs="Arial"/>
                <w:b/>
                <w:color w:val="000000"/>
                <w:sz w:val="24"/>
                <w:szCs w:val="24"/>
              </w:rPr>
              <w:t>от</w:t>
            </w:r>
            <w:r>
              <w:rPr/>
              <w:t xml:space="preserve"> </w:t>
            </w:r>
            <w:r>
              <w:rPr>
                <w:rFonts w:eastAsia="Arial" w:cs="Arial"/>
                <w:b/>
                <w:color w:val="000000"/>
                <w:sz w:val="24"/>
                <w:szCs w:val="24"/>
              </w:rPr>
              <w:t>22.09.2026</w:t>
            </w:r>
          </w:p>
          <w:p>
            <w:pPr>
              <w:pStyle w:val="Normal"/>
              <w:spacing w:lineRule="auto" w:line="238" w:beforeAutospacing="0" w:before="0" w:afterAutospacing="0" w:after="0"/>
              <w:ind w:start="30" w:end="30"/>
              <w:jc w:val="center"/>
              <w:rPr>
                <w:sz w:val="24"/>
                <w:szCs w:val="24"/>
              </w:rPr>
            </w:pPr>
            <w:r>
              <w:rPr>
                <w:rFonts w:eastAsia="Arial" w:cs="Arial"/>
                <w:b/>
                <w:color w:val="000000"/>
                <w:sz w:val="24"/>
                <w:szCs w:val="24"/>
              </w:rPr>
              <w:t>на</w:t>
            </w:r>
            <w:r>
              <w:rPr/>
              <w:t xml:space="preserve"> </w:t>
            </w:r>
            <w:r>
              <w:rPr>
                <w:rFonts w:eastAsia="Arial" w:cs="Arial"/>
                <w:b/>
                <w:color w:val="000000"/>
                <w:sz w:val="24"/>
                <w:szCs w:val="24"/>
              </w:rPr>
              <w:t>проведение</w:t>
            </w:r>
            <w:r>
              <w:rPr/>
              <w:t xml:space="preserve"> </w:t>
            </w:r>
            <w:r>
              <w:rPr>
                <w:rFonts w:eastAsia="Arial" w:cs="Arial"/>
                <w:b/>
                <w:color w:val="000000"/>
                <w:sz w:val="24"/>
                <w:szCs w:val="24"/>
              </w:rPr>
              <w:t>регистрации</w:t>
            </w:r>
            <w:r>
              <w:rPr/>
              <w:t xml:space="preserve"> </w:t>
            </w:r>
            <w:r>
              <w:rPr>
                <w:rFonts w:eastAsia="Arial" w:cs="Arial"/>
                <w:b/>
                <w:color w:val="000000"/>
                <w:sz w:val="24"/>
                <w:szCs w:val="24"/>
              </w:rPr>
              <w:t>декларации</w:t>
            </w:r>
            <w:r>
              <w:rPr/>
              <w:t xml:space="preserve"> </w:t>
            </w:r>
            <w:r>
              <w:rPr>
                <w:rFonts w:eastAsia="Arial" w:cs="Arial"/>
                <w:b/>
                <w:color w:val="000000"/>
                <w:sz w:val="24"/>
                <w:szCs w:val="24"/>
              </w:rPr>
              <w:t>о</w:t>
            </w:r>
            <w:r>
              <w:rPr/>
              <w:t xml:space="preserve"> </w:t>
            </w:r>
            <w:r>
              <w:rPr>
                <w:rFonts w:eastAsia="Arial" w:cs="Arial"/>
                <w:b/>
                <w:color w:val="000000"/>
                <w:sz w:val="24"/>
                <w:szCs w:val="24"/>
              </w:rPr>
              <w:t>соответствии</w:t>
            </w:r>
            <w:r>
              <w:rPr/>
              <w:t xml:space="preserve"> </w:t>
            </w:r>
            <w:r>
              <w:rPr>
                <w:rFonts w:eastAsia="Arial" w:cs="Arial"/>
                <w:b/>
                <w:color w:val="000000"/>
                <w:sz w:val="24"/>
                <w:szCs w:val="24"/>
              </w:rPr>
              <w:t>продукции</w:t>
            </w:r>
            <w:r>
              <w:rPr/>
              <w:t xml:space="preserve"> </w:t>
            </w:r>
            <w:r>
              <w:rPr>
                <w:rFonts w:eastAsia="Arial" w:cs="Arial"/>
                <w:b/>
                <w:color w:val="000000"/>
                <w:sz w:val="24"/>
                <w:szCs w:val="24"/>
              </w:rPr>
              <w:t>требованиям</w:t>
            </w:r>
            <w:r>
              <w:rPr/>
              <w:t xml:space="preserve"> </w:t>
            </w:r>
            <w:r>
              <w:rPr>
                <w:rFonts w:eastAsia="Arial" w:cs="Arial"/>
                <w:b/>
                <w:color w:val="000000"/>
                <w:sz w:val="24"/>
                <w:szCs w:val="24"/>
              </w:rPr>
              <w:t>технического</w:t>
            </w:r>
            <w:r>
              <w:rPr/>
              <w:t xml:space="preserve"> </w:t>
            </w:r>
            <w:r>
              <w:rPr>
                <w:rFonts w:eastAsia="Arial" w:cs="Arial"/>
                <w:b/>
                <w:color w:val="000000"/>
                <w:sz w:val="24"/>
                <w:szCs w:val="24"/>
              </w:rPr>
              <w:t>регламента</w:t>
            </w:r>
            <w:r>
              <w:rPr/>
              <w:t xml:space="preserve"> </w:t>
            </w:r>
            <w:r>
              <w:rPr>
                <w:rFonts w:eastAsia="Arial" w:cs="Arial"/>
                <w:b/>
                <w:color w:val="000000"/>
                <w:sz w:val="24"/>
                <w:szCs w:val="24"/>
              </w:rPr>
              <w:t>Евразийского</w:t>
            </w:r>
            <w:r>
              <w:rPr/>
              <w:t xml:space="preserve"> </w:t>
            </w:r>
            <w:r>
              <w:rPr>
                <w:rFonts w:eastAsia="Arial" w:cs="Arial"/>
                <w:b/>
                <w:color w:val="000000"/>
                <w:sz w:val="24"/>
                <w:szCs w:val="24"/>
              </w:rPr>
              <w:t>экономического</w:t>
            </w:r>
            <w:r>
              <w:rPr/>
              <w:t xml:space="preserve"> </w:t>
            </w:r>
            <w:r>
              <w:rPr>
                <w:rFonts w:eastAsia="Arial" w:cs="Arial"/>
                <w:b/>
                <w:color w:val="000000"/>
                <w:sz w:val="24"/>
                <w:szCs w:val="24"/>
              </w:rPr>
              <w:t>союза</w:t>
            </w:r>
            <w:r>
              <w:rPr/>
              <w:t xml:space="preserve"> </w:t>
            </w:r>
            <w:r>
              <w:rPr>
                <w:rFonts w:eastAsia="Arial" w:cs="Arial"/>
                <w:b/>
                <w:color w:val="000000"/>
                <w:sz w:val="24"/>
                <w:szCs w:val="24"/>
              </w:rPr>
              <w:t>(ТР</w:t>
            </w:r>
            <w:r>
              <w:rPr/>
              <w:t xml:space="preserve"> </w:t>
            </w:r>
            <w:r>
              <w:rPr>
                <w:rFonts w:eastAsia="Arial" w:cs="Arial"/>
                <w:b/>
                <w:color w:val="000000"/>
                <w:sz w:val="24"/>
                <w:szCs w:val="24"/>
              </w:rPr>
              <w:t>ЕАЭС)</w:t>
            </w:r>
          </w:p>
        </w:tc>
      </w:tr>
      <w:tr>
        <w:trPr>
          <w:trHeight w:val="143"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Заявитель</w:t>
            </w:r>
            <w:r>
              <w:rPr/>
              <w:t xml:space="preserve"> </w:t>
            </w:r>
            <w:r>
              <w:rPr>
                <w:rFonts w:eastAsia="Times New Roman" w:cs="Times New Roman" w:ascii="Times New Roman" w:hAnsi="Times New Roman"/>
                <w:color w:val="000000"/>
                <w:sz w:val="24"/>
                <w:szCs w:val="24"/>
              </w:rPr>
              <w:t>ОБЩЕСТВО С ОГРАНИЧЕННОЙ ОТВЕТСТВЕННОСТЬЮ "НЕМЕЦКАЯ ЭЛЕКТРОТЕХНИКА"</w:t>
            </w:r>
          </w:p>
        </w:tc>
      </w:tr>
      <w:tr>
        <w:trPr>
          <w:trHeight w:val="20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заявителя</w:t>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основной</w:t>
            </w:r>
            <w:r>
              <w:rPr/>
              <w:t xml:space="preserve"> </w:t>
            </w:r>
            <w:r>
              <w:rPr>
                <w:rFonts w:eastAsia="Times New Roman" w:cs="Times New Roman" w:ascii="Times New Roman" w:hAnsi="Times New Roman"/>
                <w:color w:val="000000"/>
                <w:sz w:val="24"/>
                <w:szCs w:val="24"/>
              </w:rPr>
              <w:t>государственный</w:t>
            </w:r>
            <w:r>
              <w:rPr/>
              <w:t xml:space="preserve"> </w:t>
            </w:r>
            <w:r>
              <w:rPr>
                <w:rFonts w:eastAsia="Times New Roman" w:cs="Times New Roman" w:ascii="Times New Roman" w:hAnsi="Times New Roman"/>
                <w:color w:val="000000"/>
                <w:sz w:val="24"/>
                <w:szCs w:val="24"/>
              </w:rPr>
              <w:t>регистрационный</w:t>
            </w:r>
            <w:r>
              <w:rPr/>
              <w:t xml:space="preserve"> </w:t>
            </w:r>
            <w:r>
              <w:rPr>
                <w:rFonts w:eastAsia="Times New Roman" w:cs="Times New Roman" w:ascii="Times New Roman" w:hAnsi="Times New Roman"/>
                <w:color w:val="000000"/>
                <w:sz w:val="24"/>
                <w:szCs w:val="24"/>
              </w:rPr>
              <w:t>номер</w:t>
            </w:r>
            <w:r>
              <w:rPr/>
              <w:t xml:space="preserve"> </w:t>
            </w:r>
            <w:r>
              <w:rPr>
                <w:rFonts w:eastAsia="Times New Roman" w:cs="Times New Roman" w:ascii="Times New Roman" w:hAnsi="Times New Roman"/>
                <w:color w:val="000000"/>
                <w:sz w:val="24"/>
                <w:szCs w:val="24"/>
              </w:rPr>
              <w:t>1157746481144</w:t>
            </w:r>
          </w:p>
        </w:tc>
      </w:tr>
      <w:tr>
        <w:trPr>
          <w:trHeight w:val="565"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Место</w:t>
            </w:r>
            <w:r>
              <w:rPr/>
              <w:t xml:space="preserve"> </w:t>
            </w:r>
            <w:r>
              <w:rPr>
                <w:rFonts w:eastAsia="Times New Roman" w:cs="Times New Roman" w:ascii="Times New Roman" w:hAnsi="Times New Roman"/>
                <w:color w:val="000000"/>
                <w:sz w:val="24"/>
                <w:szCs w:val="24"/>
              </w:rPr>
              <w:t>нахождения</w:t>
            </w:r>
            <w:r>
              <w:rPr/>
              <w:t xml:space="preserve"> </w:t>
            </w: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юридического</w:t>
            </w:r>
            <w:r>
              <w:rPr/>
              <w:t xml:space="preserve"> </w:t>
            </w:r>
            <w:r>
              <w:rPr>
                <w:rFonts w:eastAsia="Times New Roman" w:cs="Times New Roman" w:ascii="Times New Roman" w:hAnsi="Times New Roman"/>
                <w:color w:val="000000"/>
                <w:sz w:val="24"/>
                <w:szCs w:val="24"/>
              </w:rPr>
              <w:t>лица):</w:t>
            </w:r>
            <w:r>
              <w:rPr/>
              <w:t xml:space="preserve"> </w:t>
            </w:r>
            <w:r>
              <w:rPr>
                <w:rFonts w:eastAsia="Times New Roman" w:cs="Times New Roman" w:ascii="Times New Roman" w:hAnsi="Times New Roman"/>
                <w:color w:val="000000"/>
                <w:sz w:val="24"/>
                <w:szCs w:val="24"/>
              </w:rPr>
              <w:t>117218, г Москва, р-н Котловка, Нахимовский пр-кт, д 24 стр 4</w:t>
            </w:r>
          </w:p>
        </w:tc>
      </w:tr>
      <w:tr>
        <w:trPr>
          <w:trHeight w:val="565"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Телефон:</w:t>
            </w:r>
            <w:r>
              <w:rPr/>
              <w:t xml:space="preserve"> </w:t>
            </w:r>
            <w:r>
              <w:rPr>
                <w:rFonts w:eastAsia="Times New Roman" w:cs="Times New Roman" w:ascii="Times New Roman" w:hAnsi="Times New Roman"/>
                <w:color w:val="000000"/>
                <w:sz w:val="24"/>
                <w:szCs w:val="24"/>
              </w:rPr>
              <w:t>8 (495) 726-57-27</w:t>
            </w:r>
          </w:p>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электронной</w:t>
            </w:r>
            <w:r>
              <w:rPr/>
              <w:t xml:space="preserve"> </w:t>
            </w:r>
            <w:r>
              <w:rPr>
                <w:rFonts w:eastAsia="Times New Roman" w:cs="Times New Roman" w:ascii="Times New Roman" w:hAnsi="Times New Roman"/>
                <w:color w:val="000000"/>
                <w:sz w:val="24"/>
                <w:szCs w:val="24"/>
              </w:rPr>
              <w:t>почты:</w:t>
            </w:r>
            <w:r>
              <w:rPr/>
              <w:t xml:space="preserve"> </w:t>
            </w:r>
            <w:r>
              <w:rPr>
                <w:rFonts w:eastAsia="Times New Roman" w:cs="Times New Roman" w:ascii="Times New Roman" w:hAnsi="Times New Roman"/>
                <w:color w:val="000000"/>
                <w:sz w:val="24"/>
                <w:szCs w:val="24"/>
              </w:rPr>
              <w:t>info@ge-el.ru</w:t>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в</w:t>
            </w:r>
            <w:r>
              <w:rPr/>
              <w:t xml:space="preserve"> </w:t>
            </w:r>
            <w:r>
              <w:rPr>
                <w:rFonts w:eastAsia="Times New Roman" w:cs="Times New Roman" w:ascii="Times New Roman" w:hAnsi="Times New Roman"/>
                <w:b/>
                <w:color w:val="000000"/>
                <w:sz w:val="24"/>
                <w:szCs w:val="24"/>
              </w:rPr>
              <w:t>лице</w:t>
            </w:r>
            <w:r>
              <w:rPr/>
              <w:t xml:space="preserve"> </w:t>
            </w:r>
            <w:r>
              <w:rPr>
                <w:rFonts w:eastAsia="Times New Roman" w:cs="Times New Roman" w:ascii="Times New Roman" w:hAnsi="Times New Roman"/>
                <w:color w:val="000000"/>
                <w:sz w:val="24"/>
                <w:szCs w:val="24"/>
              </w:rPr>
              <w:t>генерального директора Шкёпу Виктора Валерьевича</w:t>
            </w:r>
          </w:p>
        </w:tc>
      </w:tr>
      <w:tr>
        <w:trPr>
          <w:trHeight w:val="18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фамилия, имя, отчество руководителя, должность</w:t>
            </w:r>
          </w:p>
        </w:tc>
      </w:tr>
      <w:tr>
        <w:trPr>
          <w:trHeight w:val="20" w:hRule="atLeast"/>
        </w:trPr>
        <w:tc>
          <w:tcPr>
            <w:tcW w:w="10336" w:type="dxa"/>
            <w:gridSpan w:val="10"/>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просит</w:t>
            </w:r>
            <w:r>
              <w:rPr/>
              <w:t xml:space="preserve"> </w:t>
            </w:r>
            <w:r>
              <w:rPr>
                <w:rFonts w:eastAsia="Times New Roman" w:cs="Times New Roman" w:ascii="Times New Roman" w:hAnsi="Times New Roman"/>
                <w:b/>
                <w:color w:val="000000"/>
                <w:sz w:val="24"/>
                <w:szCs w:val="24"/>
              </w:rPr>
              <w:t>провести</w:t>
            </w:r>
            <w:r>
              <w:rPr/>
              <w:t xml:space="preserve"> </w:t>
            </w:r>
            <w:r>
              <w:rPr>
                <w:rFonts w:eastAsia="Times New Roman" w:cs="Times New Roman" w:ascii="Times New Roman" w:hAnsi="Times New Roman"/>
                <w:b/>
                <w:color w:val="000000"/>
                <w:sz w:val="24"/>
                <w:szCs w:val="24"/>
              </w:rPr>
              <w:t>регистрацию</w:t>
            </w:r>
            <w:r>
              <w:rPr/>
              <w:t xml:space="preserve"> </w:t>
            </w:r>
            <w:r>
              <w:rPr>
                <w:rFonts w:eastAsia="Times New Roman" w:cs="Times New Roman" w:ascii="Times New Roman" w:hAnsi="Times New Roman"/>
                <w:b/>
                <w:color w:val="000000"/>
                <w:sz w:val="24"/>
                <w:szCs w:val="24"/>
              </w:rPr>
              <w:t>декларации</w:t>
            </w:r>
            <w:r>
              <w:rPr/>
              <w:t xml:space="preserve"> </w:t>
            </w:r>
            <w:r>
              <w:rPr>
                <w:rFonts w:eastAsia="Times New Roman" w:cs="Times New Roman" w:ascii="Times New Roman" w:hAnsi="Times New Roman"/>
                <w:b/>
                <w:color w:val="000000"/>
                <w:sz w:val="24"/>
                <w:szCs w:val="24"/>
              </w:rPr>
              <w:t>о</w:t>
            </w:r>
            <w:r>
              <w:rPr/>
              <w:t xml:space="preserve"> </w:t>
            </w:r>
            <w:r>
              <w:rPr>
                <w:rFonts w:eastAsia="Times New Roman" w:cs="Times New Roman" w:ascii="Times New Roman" w:hAnsi="Times New Roman"/>
                <w:b/>
                <w:color w:val="000000"/>
                <w:sz w:val="24"/>
                <w:szCs w:val="24"/>
              </w:rPr>
              <w:t>соответствии</w:t>
            </w:r>
            <w:r>
              <w:rPr/>
              <w:t xml:space="preserve"> </w:t>
            </w:r>
            <w:r>
              <w:rPr>
                <w:rFonts w:eastAsia="Times New Roman" w:cs="Times New Roman" w:ascii="Times New Roman" w:hAnsi="Times New Roman"/>
                <w:b/>
                <w:color w:val="000000"/>
                <w:sz w:val="24"/>
                <w:szCs w:val="24"/>
              </w:rPr>
              <w:t>продукции</w:t>
            </w:r>
          </w:p>
        </w:tc>
        <w:tc>
          <w:tcPr>
            <w:tcW w:w="12" w:type="dxa"/>
            <w:tcBorders/>
            <w:tcMar>
              <w:start w:w="34" w:type="dxa"/>
              <w:end w:w="34" w:type="dxa"/>
            </w:tcMar>
          </w:tcPr>
          <w:p>
            <w:pPr>
              <w:pStyle w:val="Normal"/>
              <w:spacing w:lineRule="auto" w:line="238" w:beforeAutospacing="0" w:before="0" w:afterAutospacing="0" w:after="0"/>
              <w:ind w:start="30" w:end="30"/>
              <w:jc w:val="center"/>
              <w:rPr>
                <w:sz w:val="16"/>
                <w:szCs w:val="16"/>
              </w:rPr>
            </w:pPr>
            <w:r>
              <w:rPr>
                <w:sz w:val="16"/>
                <w:szCs w:val="16"/>
              </w:rPr>
            </w:r>
          </w:p>
        </w:tc>
      </w:tr>
      <w:tr>
        <w:trPr>
          <w:trHeight w:val="270" w:hRule="atLeast"/>
        </w:trPr>
        <w:tc>
          <w:tcPr>
            <w:tcW w:w="10336" w:type="dxa"/>
            <w:gridSpan w:val="10"/>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65"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KNX кабель EIB, бухта по 100 метров, Артикул EN 50575, KNX IP-интерфейс, Артикул IPS300SREG, Групповая двухклавишная кнопка, Артикул WDE503404, Двухклавишная кнопка, Артикул WDE5035, Одноклавишный выключатель, Артикул WNA001B, Одноклавишный выключатель, Артикул WNA011, ZEN-513262 | Вставка ZS55, перекидной (с фиксацией) выключатель, 2-канальный, на 1 направление, 10АX, Артикул 8300018, Розетка RJ45 Cat 6 UTP, Артикул 30702172, Розетка двойная RJ45 Cat 6 UTP, Артикул 30707175, Розетка RJ45 Cat 6 UTP, Артикул 31702172, Двойная компьютерная розетка кат 6А UTP, Артикул 90707000, Штепсельная розетка SCHUKO, Артикул WNA140B, Штепсельная розетка SCHUKO, Артикул WNA160, Розетка UAE, Артикул WNA226B, Штепсельная розетка SCHUKO, Артикул WNC144, Штепсельная розетка SCHUKO, Артикул WNC160, Штепсельная розетка SCHUKO, Артикул WTS1200BG, Вилка силовая, Артикул 055157, Розетка 20A, Артикул 055427, Розетка RJ45 UTP, Артикул 079471, Розетка RJ45 UTP, Артикул 079474, Кнопочный модуль KNX "универсальный" F10 на 1 группу, Артикул LSCD10911ST, KNX устройство сопряжения 4 группы, Артикул 400041SE, Универсальный диммер 5–300 Вт, Артикул 903302B4, Светодиодный осветительный элемент T5 0,5 мА белый, Артикул 3795010, Светодиодный элемент освещения T5 0,5 мА красный, Артикул 3795011, Светодиодный элемент T5 0,5 мА оранжевый, Артикул 3795012, KNX шлюз DALI, 2 группы, Артикул 301281SDA2R; Светодиод 230 B, для выключателей/кнопок, Артикул 1686; Термостат - черный, Артикул 90731000, Линейный соединитель, Артикул 214201SR; Выключатель 1 модуль, Артикул K4003CWI; Розетка комбинированная со встроенным зарядным устройством USB , Артикул KM4141USB; Розетка SCHUKO® с USB-зарядным устройством, тип A + тип С, Артикул A1520-15CAMO; SCHUKO-розетка с USB типа C, Артикул ES1520-18C; KNX устройство сопряжения 4 группы, Артикул 400041SE; Универсальный диммер 5–300 Вт, Артикул 903302B4; Светодиодный осветительный элемент T5 0,5 мА белый, Артикул 3795010; Светодиодный элемент освещения T5 0,5 мА красный, Артикул 3795011; Светодиодный элемент T5 0,5 мА оранжевый, Артикул 3795012</w:t>
            </w:r>
            <w:r>
              <w:rPr/>
              <w:b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07" w:hRule="atLeast"/>
        </w:trPr>
        <w:tc>
          <w:tcPr>
            <w:tcW w:w="10336"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продукции</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 w:hRule="atLeast"/>
        </w:trPr>
        <w:tc>
          <w:tcPr>
            <w:tcW w:w="10336" w:type="dxa"/>
            <w:gridSpan w:val="10"/>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Изготовитель</w:t>
            </w:r>
            <w:r>
              <w:rPr/>
              <w:t xml:space="preserve"> </w:t>
            </w:r>
            <w:r>
              <w:rPr>
                <w:rFonts w:eastAsia="Times New Roman" w:cs="Times New Roman" w:ascii="Times New Roman" w:hAnsi="Times New Roman"/>
                <w:color w:val="000000"/>
                <w:sz w:val="24"/>
                <w:szCs w:val="24"/>
              </w:rPr>
              <w:t>Berker GmbH &amp; Co. KG</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9" w:hRule="atLeast"/>
        </w:trPr>
        <w:tc>
          <w:tcPr>
            <w:tcW w:w="10336" w:type="dxa"/>
            <w:gridSpan w:val="10"/>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04" w:hRule="atLeast"/>
        </w:trPr>
        <w:tc>
          <w:tcPr>
            <w:tcW w:w="10336"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изготовителя</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7"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116"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Место</w:t>
            </w:r>
            <w:r>
              <w:rPr/>
              <w:t xml:space="preserve"> </w:t>
            </w:r>
            <w:r>
              <w:rPr>
                <w:rFonts w:eastAsia="Times New Roman" w:cs="Times New Roman" w:ascii="Times New Roman" w:hAnsi="Times New Roman"/>
                <w:color w:val="000000"/>
                <w:sz w:val="24"/>
                <w:szCs w:val="24"/>
              </w:rPr>
              <w:t>нахождения:</w:t>
            </w:r>
            <w:r>
              <w:rPr/>
              <w:t xml:space="preserve"> </w:t>
            </w:r>
            <w:r>
              <w:rPr>
                <w:rFonts w:eastAsia="Times New Roman" w:cs="Times New Roman" w:ascii="Times New Roman" w:hAnsi="Times New Roman"/>
                <w:color w:val="000000"/>
                <w:sz w:val="24"/>
                <w:szCs w:val="24"/>
              </w:rPr>
              <w:t>Германия, Werk Ottfingen, Hubersstrasse 17, 57482 Wenden</w:t>
              <w:br/>
              <w:t>Филиалы: согласно приложению № 1</w:t>
            </w:r>
          </w:p>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места</w:t>
            </w:r>
            <w:r>
              <w:rPr/>
              <w:t xml:space="preserve"> </w:t>
            </w:r>
            <w:r>
              <w:rPr>
                <w:rFonts w:eastAsia="Times New Roman" w:cs="Times New Roman" w:ascii="Times New Roman" w:hAnsi="Times New Roman"/>
                <w:color w:val="000000"/>
                <w:sz w:val="24"/>
                <w:szCs w:val="24"/>
              </w:rPr>
              <w:t>осуществления</w:t>
            </w:r>
            <w:r>
              <w:rPr/>
              <w:t xml:space="preserve"> </w:t>
            </w:r>
            <w:r>
              <w:rPr>
                <w:rFonts w:eastAsia="Times New Roman" w:cs="Times New Roman" w:ascii="Times New Roman" w:hAnsi="Times New Roman"/>
                <w:color w:val="000000"/>
                <w:sz w:val="24"/>
                <w:szCs w:val="24"/>
              </w:rPr>
              <w:t>деятельности</w:t>
            </w:r>
            <w:r>
              <w:rPr/>
              <w:t xml:space="preserve"> </w:t>
            </w:r>
            <w:r>
              <w:rPr>
                <w:rFonts w:eastAsia="Times New Roman" w:cs="Times New Roman" w:ascii="Times New Roman" w:hAnsi="Times New Roman"/>
                <w:color w:val="000000"/>
                <w:sz w:val="24"/>
                <w:szCs w:val="24"/>
              </w:rPr>
              <w:t>по</w:t>
            </w:r>
            <w:r>
              <w:rPr/>
              <w:t xml:space="preserve"> </w:t>
            </w:r>
            <w:r>
              <w:rPr>
                <w:rFonts w:eastAsia="Times New Roman" w:cs="Times New Roman" w:ascii="Times New Roman" w:hAnsi="Times New Roman"/>
                <w:color w:val="000000"/>
                <w:sz w:val="24"/>
                <w:szCs w:val="24"/>
              </w:rPr>
              <w:t>изготовлению</w:t>
            </w:r>
            <w:r>
              <w:rPr/>
              <w:t xml:space="preserve"> </w:t>
            </w:r>
            <w:r>
              <w:rPr>
                <w:rFonts w:eastAsia="Times New Roman" w:cs="Times New Roman" w:ascii="Times New Roman" w:hAnsi="Times New Roman"/>
                <w:color w:val="000000"/>
                <w:sz w:val="24"/>
                <w:szCs w:val="24"/>
              </w:rPr>
              <w:t>продукции:</w:t>
            </w:r>
            <w:r>
              <w:rPr/>
              <w:t xml:space="preserve"> </w:t>
            </w:r>
            <w:r>
              <w:rPr>
                <w:rFonts w:eastAsia="Times New Roman" w:cs="Times New Roman" w:ascii="Times New Roman" w:hAnsi="Times New Roman"/>
                <w:color w:val="000000"/>
                <w:sz w:val="24"/>
                <w:szCs w:val="24"/>
              </w:rPr>
              <w:t>Германия, Werk Ottfingen, Hubersstrasse 17, 57482 Wenden</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89"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Код</w:t>
            </w:r>
            <w:r>
              <w:rPr/>
              <w:t xml:space="preserve"> </w:t>
            </w:r>
            <w:r>
              <w:rPr>
                <w:rFonts w:eastAsia="Times New Roman" w:cs="Times New Roman" w:ascii="Times New Roman" w:hAnsi="Times New Roman"/>
                <w:b/>
                <w:color w:val="000000"/>
                <w:sz w:val="24"/>
                <w:szCs w:val="24"/>
              </w:rPr>
              <w:t>(коды)</w:t>
            </w:r>
            <w:r>
              <w:rPr/>
              <w:t xml:space="preserve"> </w:t>
            </w:r>
            <w:r>
              <w:rPr>
                <w:rFonts w:eastAsia="Times New Roman" w:cs="Times New Roman" w:ascii="Times New Roman" w:hAnsi="Times New Roman"/>
                <w:b/>
                <w:color w:val="000000"/>
                <w:sz w:val="24"/>
                <w:szCs w:val="24"/>
              </w:rPr>
              <w:t>ТН</w:t>
            </w:r>
            <w:r>
              <w:rPr/>
              <w:t xml:space="preserve"> </w:t>
            </w:r>
            <w:r>
              <w:rPr>
                <w:rFonts w:eastAsia="Times New Roman" w:cs="Times New Roman" w:ascii="Times New Roman" w:hAnsi="Times New Roman"/>
                <w:b/>
                <w:color w:val="000000"/>
                <w:sz w:val="24"/>
                <w:szCs w:val="24"/>
              </w:rPr>
              <w:t>ВЭД</w:t>
            </w:r>
            <w:r>
              <w:rPr/>
              <w:t xml:space="preserve"> </w:t>
            </w:r>
            <w:r>
              <w:rPr>
                <w:rFonts w:eastAsia="Times New Roman" w:cs="Times New Roman" w:ascii="Times New Roman" w:hAnsi="Times New Roman"/>
                <w:b/>
                <w:color w:val="000000"/>
                <w:sz w:val="24"/>
                <w:szCs w:val="24"/>
              </w:rPr>
              <w:t>ЕАЭС</w:t>
            </w:r>
            <w:r>
              <w:rPr/>
              <w:t xml:space="preserve"> </w:t>
            </w:r>
            <w:r>
              <w:rPr>
                <w:rFonts w:eastAsia="Times New Roman" w:cs="Times New Roman" w:ascii="Times New Roman" w:hAnsi="Times New Roman"/>
                <w:color w:val="000000"/>
                <w:sz w:val="24"/>
                <w:szCs w:val="24"/>
              </w:rPr>
              <w:t>:</w:t>
            </w:r>
            <w:r>
              <w:rPr/>
              <w:t xml:space="preserve"> </w:t>
            </w:r>
            <w:r>
              <w:rPr>
                <w:rFonts w:eastAsia="Times New Roman" w:cs="Times New Roman" w:ascii="Times New Roman" w:hAnsi="Times New Roman"/>
                <w:color w:val="000000"/>
                <w:sz w:val="24"/>
                <w:szCs w:val="24"/>
              </w:rPr>
              <w:t>8544492000, 8517620009, 8536500700, 8536699008, 8537109100, 8536508008, 8539520009, 9032102000, 8536501109</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Серийный выпуск</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3"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схема</w:t>
            </w:r>
            <w:r>
              <w:rPr/>
              <w:t xml:space="preserve"> </w:t>
            </w:r>
            <w:r>
              <w:rPr>
                <w:rFonts w:eastAsia="Times New Roman" w:cs="Times New Roman" w:ascii="Times New Roman" w:hAnsi="Times New Roman"/>
                <w:b/>
                <w:color w:val="000000"/>
                <w:sz w:val="24"/>
                <w:szCs w:val="24"/>
              </w:rPr>
              <w:t>декларирования:</w:t>
            </w:r>
            <w:r>
              <w:rPr/>
              <w:t xml:space="preserve"> 1д</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65"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Продукция</w:t>
            </w:r>
            <w:r>
              <w:rPr/>
              <w:t xml:space="preserve"> </w:t>
            </w:r>
            <w:r>
              <w:rPr>
                <w:rFonts w:eastAsia="Times New Roman" w:cs="Times New Roman" w:ascii="Times New Roman" w:hAnsi="Times New Roman"/>
                <w:b/>
                <w:color w:val="000000"/>
                <w:sz w:val="24"/>
                <w:szCs w:val="24"/>
              </w:rPr>
              <w:t>соответствует</w:t>
            </w:r>
            <w:r>
              <w:rPr/>
              <w:t xml:space="preserve"> </w:t>
            </w:r>
            <w:r>
              <w:rPr>
                <w:rFonts w:eastAsia="Times New Roman" w:cs="Times New Roman" w:ascii="Times New Roman" w:hAnsi="Times New Roman"/>
                <w:b/>
                <w:color w:val="000000"/>
                <w:sz w:val="24"/>
                <w:szCs w:val="24"/>
              </w:rPr>
              <w:t>требованиям</w:t>
            </w:r>
            <w:r>
              <w:rPr/>
              <w:t xml:space="preserve"> </w:t>
            </w:r>
            <w:r>
              <w:rPr>
                <w:rFonts w:eastAsia="Times New Roman" w:cs="Times New Roman" w:ascii="Times New Roman" w:hAnsi="Times New Roman"/>
                <w:color w:val="000000"/>
                <w:sz w:val="24"/>
                <w:szCs w:val="24"/>
              </w:rPr>
              <w:t>Технического регламента Евразийского экономического союза "Об ограничении применения опасных веществ в изделиях электротехники и радиоэлектроники" (ТР ЕАЭС 037/2016)</w:t>
              <w:br/>
              <w:t>Технического регламента Таможенного союза "О безопасности низковольтного оборудования" (ТР ТС 004/2011)</w:t>
              <w:br/>
              <w:t>Технического регламента Таможенного союза "Электромагнитная совместимость технических средств" (ТР ТС 020/2011)</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2"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116" w:hRule="atLeast"/>
        </w:trPr>
        <w:tc>
          <w:tcPr>
            <w:tcW w:w="10336" w:type="dxa"/>
            <w:gridSpan w:val="10"/>
            <w:tcBorders/>
            <w:tcMar>
              <w:start w:w="4" w:type="dxa"/>
              <w:end w:w="34" w:type="dxa"/>
            </w:tcMar>
          </w:tcPr>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b/>
                <w:color w:val="000000"/>
                <w:sz w:val="24"/>
                <w:szCs w:val="24"/>
              </w:rPr>
              <w:t>Дополнительные сведения:</w:t>
            </w:r>
            <w:r>
              <w:rPr>
                <w:rFonts w:eastAsia="Times New Roman" w:cs="Times New Roman" w:ascii="Times New Roman" w:hAnsi="Times New Roman"/>
                <w:b w:val="false"/>
                <w:color w:val="000000"/>
                <w:sz w:val="24"/>
                <w:szCs w:val="24"/>
              </w:rPr>
              <w:br/>
              <w:t>Договор уполномоченного лица № 22-07-26-470 от 22.07.2026 года</w:t>
              <w:br/>
              <w:t>Срок хранения (службы, годности) указан в прилагаемой к продукции товаросопроводительной и/или эксплуатационной документации. Декларация соответствия распространяется на продукцию, изготовленную с даты изготовления отобранных образцов (проб) продукции, прошедших исследования (испытания) и измерения, указанную в декларации о соответствии.</w:t>
            </w:r>
          </w:p>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color w:val="000000"/>
                <w:sz w:val="24"/>
                <w:szCs w:val="24"/>
              </w:rPr>
              <w:t>-</w:t>
            </w:r>
          </w:p>
          <w:p>
            <w:pPr>
              <w:pStyle w:val="Normal"/>
              <w:spacing w:lineRule="auto" w:line="238" w:beforeAutospacing="0" w:before="0" w:afterAutospacing="0" w:after="0"/>
              <w:ind w:start="0" w:end="30"/>
              <w:jc w:val="start"/>
              <w:rPr>
                <w:sz w:val="24"/>
                <w:szCs w:val="24"/>
              </w:rPr>
            </w:pPr>
            <w:r>
              <w:rPr>
                <w:sz w:val="24"/>
                <w:szCs w:val="24"/>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6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3139" w:type="dxa"/>
            <w:gridSpan w:val="4"/>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Генерального директора</w:t>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tcBorders/>
            <w:tcMar>
              <w:start w:w="34" w:type="dxa"/>
              <w:end w:w="34" w:type="dxa"/>
            </w:tcMar>
            <w:vAlign w:val="bottom"/>
          </w:tcPr>
          <w:p>
            <w:pPr>
              <w:pStyle w:val="Normal"/>
              <w:spacing w:lineRule="auto" w:line="238" w:beforeAutospacing="0" w:before="0" w:afterAutospacing="0" w:after="0"/>
              <w:ind w:start="30" w:end="30"/>
              <w:jc w:val="center"/>
              <w:rPr>
                <w:sz w:val="24"/>
                <w:szCs w:val="24"/>
              </w:rPr>
            </w:pPr>
            <w:r>
              <w:rPr>
                <w:rFonts w:eastAsia="Times New Roman" w:cs="Times New Roman" w:ascii="Times New Roman" w:hAnsi="Times New Roman"/>
                <w:color w:val="000000"/>
                <w:sz w:val="24"/>
                <w:szCs w:val="24"/>
              </w:rPr>
              <w:t>Шкёпу В.В.</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0"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13"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подпись</w:t>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инициалы, фамилия</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23"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95"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vMerge w:val="restart"/>
            <w:tcBorders/>
            <w:tcMar>
              <w:start w:w="34" w:type="dxa"/>
              <w:end w:w="34" w:type="dxa"/>
            </w:tcMar>
          </w:tcPr>
          <w:p>
            <w:pPr>
              <w:pStyle w:val="Normal"/>
              <w:spacing w:lineRule="auto" w:line="238" w:beforeAutospacing="0" w:before="0" w:afterAutospacing="0" w:after="0"/>
              <w:ind w:start="30" w:end="30"/>
              <w:jc w:val="center"/>
              <w:rPr>
                <w:sz w:val="24"/>
                <w:szCs w:val="24"/>
              </w:rPr>
            </w:pPr>
            <w:r>
              <w:rPr>
                <w:rFonts w:eastAsia="Times New Roman" w:cs="Times New Roman" w:ascii="Times New Roman" w:hAnsi="Times New Roman"/>
                <w:color w:val="000000"/>
                <w:sz w:val="24"/>
                <w:szCs w:val="24"/>
              </w:rPr>
              <w:t>22.09.2026</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95" w:hRule="atLeast"/>
        </w:trPr>
        <w:tc>
          <w:tcPr>
            <w:tcW w:w="1057" w:type="dxa"/>
            <w:gridSpan w:val="2"/>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742" w:type="dxa"/>
            <w:vMerge w:val="restart"/>
            <w:tcBorders/>
            <w:tcMar>
              <w:start w:w="34" w:type="dxa"/>
              <w:end w:w="34" w:type="dxa"/>
            </w:tcMar>
          </w:tcPr>
          <w:p>
            <w:pPr>
              <w:pStyle w:val="Normal"/>
              <w:spacing w:lineRule="auto" w:line="238" w:beforeAutospacing="0" w:before="0" w:afterAutospacing="0" w:after="0"/>
              <w:ind w:start="30" w:end="30"/>
              <w:jc w:val="center"/>
              <w:rPr>
                <w:sz w:val="19"/>
                <w:szCs w:val="19"/>
              </w:rPr>
            </w:pPr>
            <w:r>
              <w:rPr>
                <w:rFonts w:eastAsia="Times New Roman" w:cs="Times New Roman" w:ascii="Times New Roman" w:hAnsi="Times New Roman"/>
                <w:color w:val="000000"/>
                <w:sz w:val="19"/>
                <w:szCs w:val="19"/>
              </w:rPr>
              <w:t>МП</w:t>
            </w:r>
          </w:p>
        </w:tc>
        <w:tc>
          <w:tcPr>
            <w:tcW w:w="1340" w:type="dxa"/>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6"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8"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vMerge w:val="restart"/>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Дата</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84"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vMerge w:val="continue"/>
            <w:tcBorders>
              <w:top w:val="single" w:sz="8" w:space="0" w:color="000000"/>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bl>
    <w:p>
      <w:pPr>
        <w:pStyle w:val="Normal"/>
        <w:rPr/>
      </w:pPr>
      <w:r>
        <w:rPr/>
      </w:r>
      <w:r>
        <w:br w:type="page"/>
      </w:r>
    </w:p>
    <w:p>
      <w:pPr>
        <w:pStyle w:val="Normal"/>
        <w:spacing w:before="0" w:after="200"/>
        <w:jc w:val="center"/>
        <w:rPr/>
      </w:pPr>
      <w:r>
        <w:rPr>
          <w:rFonts w:eastAsia="Times New Roman" w:cs="Times New Roman" w:ascii="Times New Roman" w:hAnsi="Times New Roman"/>
          <w:b/>
          <w:sz w:val="20"/>
        </w:rPr>
        <w:t>Перечень предприятий-изготовителей продукции, на которую распространяется действие декларации о соответствии</w:t>
      </w:r>
    </w:p>
    <w:tbl>
      <w:tblPr>
        <w:tblW w:w="11000" w:type="dxa"/>
        <w:jc w:val="start"/>
        <w:tblInd w:w="0" w:type="dxa"/>
        <w:tblLayout w:type="fixed"/>
        <w:tblCellMar>
          <w:top w:w="0" w:type="dxa"/>
          <w:start w:w="108" w:type="dxa"/>
          <w:bottom w:w="0" w:type="dxa"/>
          <w:end w:w="108" w:type="dxa"/>
        </w:tblCellMar>
        <w:tblLook w:val="04a0" w:noHBand="0" w:noVBand="1" w:firstColumn="1" w:lastRow="0" w:lastColumn="0" w:firstRow="1"/>
      </w:tblPr>
      <w:tblGrid>
        <w:gridCol w:w="4400"/>
        <w:gridCol w:w="6599"/>
      </w:tblGrid>
      <w:tr>
        <w:trPr/>
        <w:tc>
          <w:tcPr>
            <w:tcW w:w="4400" w:type="dxa"/>
            <w:tcBorders>
              <w:top w:val="single" w:sz="4" w:space="0" w:color="000000"/>
              <w:start w:val="single" w:sz="4" w:space="0" w:color="000000"/>
              <w:bottom w:val="single" w:sz="4" w:space="0" w:color="000000"/>
              <w:end w:val="single" w:sz="4" w:space="0" w:color="000000"/>
            </w:tcBorders>
          </w:tcPr>
          <w:p>
            <w:pPr>
              <w:pStyle w:val="Normal"/>
              <w:spacing w:before="0" w:after="200"/>
              <w:jc w:val="center"/>
              <w:rPr/>
            </w:pPr>
            <w:r>
              <w:rPr>
                <w:rFonts w:eastAsia="Times New Roman" w:cs="Times New Roman" w:ascii="Times New Roman" w:hAnsi="Times New Roman"/>
                <w:b/>
                <w:sz w:val="20"/>
              </w:rPr>
              <w:t>Полное наименование предприятия-изготовителя</w:t>
            </w:r>
          </w:p>
        </w:tc>
        <w:tc>
          <w:tcPr>
            <w:tcW w:w="6599" w:type="dxa"/>
            <w:tcBorders>
              <w:top w:val="single" w:sz="4" w:space="0" w:color="000000"/>
              <w:start w:val="single" w:sz="4" w:space="0" w:color="000000"/>
              <w:bottom w:val="single" w:sz="4" w:space="0" w:color="000000"/>
              <w:end w:val="single" w:sz="4" w:space="0" w:color="000000"/>
            </w:tcBorders>
          </w:tcPr>
          <w:p>
            <w:pPr>
              <w:pStyle w:val="Normal"/>
              <w:spacing w:before="0" w:after="200"/>
              <w:jc w:val="center"/>
              <w:rPr/>
            </w:pPr>
            <w:r>
              <w:rPr>
                <w:rFonts w:eastAsia="Times New Roman" w:cs="Times New Roman" w:ascii="Times New Roman" w:hAnsi="Times New Roman"/>
                <w:b/>
                <w:sz w:val="20"/>
              </w:rPr>
              <w:t>Адрес (место нахождения)</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Hager Electro GmbH &amp; Co. KG</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Германия, Zum Gunterstal, 66440 Blieskastel</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Albrecht Jung Gmbh &amp; CO. KG</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Германия, P.O. Box 1320, 58569 Volmestrasse 1, Schalksmuhle</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Gira Giersiepen GmbH &amp;Co.KG</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Германия, Dahlienstrasse, D-42477 Radevormwald</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Fontini S.A.</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Испания, Spain, Barcelona, C / Anoia, 15 St.Perpetua de Mogoda</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Zennio Avance y Tecnologia S.L.</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Испания, C / Río Jarama, 132. Nave P-8.11, 45007 Toledo, 39.876277, 3.938347</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Legrand France SA</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Франция, 128 av. Du Marechal de Lattre de Tassigny, LIMOGES, 87045 CEDEX</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Bticino S.p.A.</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Италия, Viale Bori, 231, 21100 Varese</w:t>
            </w:r>
          </w:p>
        </w:tc>
      </w:tr>
    </w:tbl>
    <w:sectPr>
      <w:type w:val="nextPage"/>
      <w:pgSz w:w="11906" w:h="16838"/>
      <w:pgMar w:left="454" w:right="0" w:gutter="0" w:header="0" w:top="477" w:footer="0" w:bottom="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rial">
    <w:charset w:val="01" w:characterSet="utf-8"/>
    <w:family w:val="swiss"/>
    <w:pitch w:val="variable"/>
  </w:font>
  <w:font w:name="Liberation Sans">
    <w:altName w:val="Arial"/>
    <w:charset w:val="01" w:characterSet="utf-8"/>
    <w:family w:val="swiss"/>
    <w:pitch w:val="variable"/>
  </w:font>
  <w:font w:name="Times New Roman">
    <w:charset w:val="01" w:characterSet="utf-8"/>
    <w:family w:val="roman"/>
    <w:pitch w:val="variable"/>
  </w:font>
</w:fonts>
</file>

<file path=word/settings.xml><?xml version="1.0" encoding="utf-8"?>
<w:settings xmlns:w="http://schemas.openxmlformats.org/wordprocessingml/2006/main">
  <w:zoom w:percent="100"/>
  <w:embedSystemFonts/>
  <w:defaultTabStop w:val="720"/>
  <w:autoHyphenation w:val="true"/>
  <w:hyphenationZone w:val="0"/>
  <w:compat>
    <w:doNotExpandShiftReturn/>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DejaVu Sans" w:cs="DejaVu San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sdException w:name="footnote text" w:semiHidden="1" w:unhideWhenUsed="1"/>
    <w:lsdException w:name="annotation text" w:semiHidden="1" w:unhideWhenUsed="1"/>
    <w:lsdException w:name="header" w:semiHidden="1" w:unhideWhenUsed="1"/>
    <w:lsdException w:name="footer" w:semiHidden="1" w:unhideWhenUsed="1"/>
  </w:latentStyles>
  <w:style w:type="paragraph" w:styleId="Normal" w:default="1">
    <w:name w:val="Normal"/>
    <w:qFormat/>
    <w:pPr>
      <w:widowControl/>
      <w:suppressAutoHyphens w:val="true"/>
      <w:bidi w:val="0"/>
      <w:spacing w:lineRule="auto" w:line="276" w:before="0" w:after="200"/>
      <w:jc w:val="start"/>
    </w:pPr>
    <w:rPr>
      <w:rFonts w:ascii="Arial" w:hAnsi="Arial" w:eastAsia="DejaVu Sans" w:cs="DejaVu Sans" w:asciiTheme="minorHAnsi" w:cstheme="minorBidi" w:eastAsiaTheme="minorEastAsia"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HeaderSign" w:customStyle="1">
    <w:name w:val="Header Sign"/>
    <w:basedOn w:val="DefaultParagraphFont"/>
    <w:link w:val="Header"/>
    <w:uiPriority w:val="99"/>
    <w:qFormat/>
    <w:rsid w:val="00d87e1b"/>
    <w:rPr/>
  </w:style>
  <w:style w:type="character" w:styleId="FooterSign" w:customStyle="1">
    <w:name w:val="Footer Sign"/>
    <w:basedOn w:val="DefaultParagraphFont"/>
    <w:link w:val="Footer"/>
    <w:uiPriority w:val="99"/>
    <w:qFormat/>
    <w:rsid w:val="00d87e1b"/>
    <w:rPr/>
  </w:style>
  <w:style w:type="paragraph" w:styleId="Heading">
    <w:name w:val="Heading"/>
    <w:basedOn w:val="Normal"/>
    <w:next w:val="BodyText"/>
    <w:qFormat/>
    <w:pPr>
      <w:keepNext w:val="true"/>
      <w:spacing w:before="240" w:after="120"/>
    </w:pPr>
    <w:rPr>
      <w:rFonts w:ascii="Liberation Sans" w:hAnsi="Liberation Sans" w:eastAsia="DejaVu Sans" w:cs="DejaVu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eaderandFooter">
    <w:name w:val="Header and Footer"/>
    <w:basedOn w:val="Normal"/>
    <w:qFormat/>
    <w:pPr/>
    <w:rPr/>
  </w:style>
  <w:style w:type="paragraph" w:styleId="Header">
    <w:name w:val="header"/>
    <w:basedOn w:val="Normal"/>
    <w:link w:val="HeaderSign"/>
    <w:uiPriority w:val="99"/>
    <w:unhideWhenUsed/>
    <w:rsid w:val="00d87e1b"/>
    <w:pPr>
      <w:tabs>
        <w:tab w:val="clear" w:pos="720"/>
        <w:tab w:val="center" w:pos="4677" w:leader="none"/>
        <w:tab w:val="right" w:pos="9355" w:leader="none"/>
      </w:tabs>
      <w:spacing w:lineRule="auto" w:line="240" w:before="0" w:after="0"/>
    </w:pPr>
    <w:rPr/>
  </w:style>
  <w:style w:type="paragraph" w:styleId="Footer">
    <w:name w:val="footer"/>
    <w:basedOn w:val="Normal"/>
    <w:link w:val="FooterSign"/>
    <w:uiPriority w:val="99"/>
    <w:unhideWhenUsed/>
    <w:rsid w:val="00d87e1b"/>
    <w:pPr>
      <w:tabs>
        <w:tab w:val="clear" w:pos="720"/>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python-docx</cp:lastModifiedBy>
  <dcterms:modified xsi:type="dcterms:W3CDTF">2026-09-22T15:03:31Z</dcterms:modified>
  <cp:revision>1</cp:revision>
  <dc:subject/>
  <dc:title>Word Document</dc:title>
</cp:coreProperties>
</file>